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D5B2" w14:textId="77777777" w:rsidR="001B2777" w:rsidRPr="001B2777" w:rsidRDefault="001B2777" w:rsidP="001B2777">
      <w:pPr>
        <w:spacing w:line="480" w:lineRule="auto"/>
        <w:jc w:val="both"/>
        <w:rPr>
          <w:rFonts w:ascii="Times New Roman" w:hAnsi="Times New Roman" w:cs="Times New Roman"/>
          <w:b/>
        </w:rPr>
      </w:pPr>
      <w:r w:rsidRPr="001B2777">
        <w:rPr>
          <w:rFonts w:ascii="Times New Roman" w:hAnsi="Times New Roman" w:cs="Times New Roman"/>
          <w:b/>
          <w:lang w:val="en-US"/>
        </w:rPr>
        <w:t xml:space="preserve">The Politics of Scholarly Exchange: Taking the Long View on the Rhodes Scholarships </w:t>
      </w:r>
    </w:p>
    <w:p w14:paraId="291452AF" w14:textId="77777777" w:rsidR="001B2777" w:rsidRPr="001B2777" w:rsidRDefault="001B2777" w:rsidP="00E13757">
      <w:pPr>
        <w:jc w:val="both"/>
        <w:rPr>
          <w:rFonts w:ascii="Times New Roman" w:hAnsi="Times New Roman" w:cs="Times New Roman"/>
          <w:b/>
          <w:color w:val="FF0000"/>
        </w:rPr>
      </w:pPr>
    </w:p>
    <w:p w14:paraId="0BB4BCAC" w14:textId="77777777" w:rsidR="001B2777" w:rsidRDefault="001B2777" w:rsidP="00E13757">
      <w:pPr>
        <w:jc w:val="both"/>
        <w:rPr>
          <w:rFonts w:ascii="Times New Roman" w:hAnsi="Times New Roman" w:cs="Times New Roman"/>
          <w:b/>
          <w:i/>
          <w:color w:val="FF0000"/>
        </w:rPr>
      </w:pPr>
    </w:p>
    <w:p w14:paraId="1F808547" w14:textId="75A60E69" w:rsidR="00E13757" w:rsidRPr="008E3DF4" w:rsidRDefault="00E13757" w:rsidP="00E13757">
      <w:pPr>
        <w:jc w:val="both"/>
        <w:rPr>
          <w:rFonts w:ascii="Times New Roman" w:hAnsi="Times New Roman" w:cs="Times New Roman"/>
          <w:b/>
          <w:color w:val="FF0000"/>
        </w:rPr>
      </w:pPr>
      <w:r w:rsidRPr="008E3DF4">
        <w:rPr>
          <w:rFonts w:ascii="Times New Roman" w:hAnsi="Times New Roman" w:cs="Times New Roman"/>
          <w:b/>
          <w:i/>
          <w:color w:val="FF0000"/>
        </w:rPr>
        <w:t xml:space="preserve">The final Version of Record of this manuscript </w:t>
      </w:r>
      <w:r w:rsidR="00D66012">
        <w:rPr>
          <w:rFonts w:ascii="Times New Roman" w:hAnsi="Times New Roman" w:cs="Times New Roman"/>
          <w:b/>
          <w:i/>
          <w:color w:val="FF0000"/>
        </w:rPr>
        <w:t xml:space="preserve">is </w:t>
      </w:r>
      <w:r w:rsidRPr="008E3DF4">
        <w:rPr>
          <w:rFonts w:ascii="Times New Roman" w:hAnsi="Times New Roman" w:cs="Times New Roman"/>
          <w:b/>
          <w:i/>
          <w:color w:val="FF0000"/>
        </w:rPr>
        <w:t xml:space="preserve">published in </w:t>
      </w:r>
      <w:r w:rsidR="008E3DF4" w:rsidRPr="008E3DF4">
        <w:rPr>
          <w:rFonts w:ascii="Times New Roman" w:hAnsi="Times New Roman" w:cs="Times New Roman"/>
          <w:b/>
          <w:color w:val="FF0000"/>
        </w:rPr>
        <w:t>Global Exchanges: Scholarships and Transnational Circulations in the Modern World</w:t>
      </w:r>
      <w:r w:rsidRPr="008E3DF4">
        <w:rPr>
          <w:rFonts w:ascii="Times New Roman" w:hAnsi="Times New Roman" w:cs="Times New Roman"/>
          <w:b/>
          <w:color w:val="FF0000"/>
        </w:rPr>
        <w:t xml:space="preserve">, </w:t>
      </w:r>
      <w:r w:rsidR="008E3DF4" w:rsidRPr="008E3DF4">
        <w:rPr>
          <w:rFonts w:ascii="Times New Roman" w:hAnsi="Times New Roman" w:cs="Times New Roman"/>
          <w:b/>
          <w:color w:val="FF0000"/>
        </w:rPr>
        <w:t>Oxford</w:t>
      </w:r>
      <w:r w:rsidRPr="008E3DF4">
        <w:rPr>
          <w:rFonts w:ascii="Times New Roman" w:hAnsi="Times New Roman" w:cs="Times New Roman"/>
          <w:b/>
          <w:color w:val="FF0000"/>
        </w:rPr>
        <w:t xml:space="preserve">: </w:t>
      </w:r>
      <w:r w:rsidR="008E3DF4" w:rsidRPr="008E3DF4">
        <w:rPr>
          <w:rFonts w:ascii="Times New Roman" w:hAnsi="Times New Roman" w:cs="Times New Roman"/>
          <w:b/>
          <w:color w:val="FF0000"/>
        </w:rPr>
        <w:t>Berghahn Books</w:t>
      </w:r>
      <w:r w:rsidRPr="008E3DF4">
        <w:rPr>
          <w:rFonts w:ascii="Times New Roman" w:hAnsi="Times New Roman" w:cs="Times New Roman"/>
          <w:b/>
          <w:color w:val="FF0000"/>
        </w:rPr>
        <w:t xml:space="preserve">, edited by </w:t>
      </w:r>
      <w:r w:rsidR="008E3DF4" w:rsidRPr="008E3DF4">
        <w:rPr>
          <w:rFonts w:ascii="Times New Roman" w:hAnsi="Times New Roman" w:cs="Times New Roman"/>
          <w:b/>
          <w:color w:val="FF0000"/>
        </w:rPr>
        <w:t>Ludovic Tournès</w:t>
      </w:r>
      <w:r w:rsidRPr="008E3DF4">
        <w:rPr>
          <w:rFonts w:ascii="Times New Roman" w:hAnsi="Times New Roman" w:cs="Times New Roman"/>
          <w:b/>
          <w:color w:val="FF0000"/>
        </w:rPr>
        <w:t xml:space="preserve"> and </w:t>
      </w:r>
      <w:r w:rsidR="008E3DF4" w:rsidRPr="008E3DF4">
        <w:rPr>
          <w:rFonts w:ascii="Times New Roman" w:hAnsi="Times New Roman" w:cs="Times New Roman"/>
          <w:b/>
          <w:color w:val="FF0000"/>
        </w:rPr>
        <w:t>Giles Scott-Smith</w:t>
      </w:r>
      <w:r w:rsidRPr="008E3DF4">
        <w:rPr>
          <w:rFonts w:ascii="Times New Roman" w:hAnsi="Times New Roman" w:cs="Times New Roman"/>
          <w:b/>
          <w:color w:val="FF0000"/>
        </w:rPr>
        <w:t xml:space="preserve"> </w:t>
      </w:r>
      <w:r w:rsidRPr="008E3DF4">
        <w:rPr>
          <w:rFonts w:ascii="Times New Roman" w:hAnsi="Times New Roman" w:cs="Times New Roman"/>
          <w:b/>
          <w:i/>
          <w:color w:val="FF0000"/>
        </w:rPr>
        <w:t>(</w:t>
      </w:r>
      <w:r w:rsidR="008E3DF4" w:rsidRPr="008E3DF4">
        <w:rPr>
          <w:rFonts w:ascii="Times New Roman" w:hAnsi="Times New Roman" w:cs="Times New Roman"/>
          <w:b/>
          <w:i/>
          <w:color w:val="FF0000"/>
        </w:rPr>
        <w:t>October 2017</w:t>
      </w:r>
      <w:r w:rsidRPr="008E3DF4">
        <w:rPr>
          <w:rFonts w:ascii="Times New Roman" w:hAnsi="Times New Roman" w:cs="Times New Roman"/>
          <w:b/>
          <w:i/>
          <w:color w:val="FF0000"/>
        </w:rPr>
        <w:t xml:space="preserve">), </w:t>
      </w:r>
      <w:hyperlink r:id="rId8" w:history="1">
        <w:r w:rsidR="008E3DF4" w:rsidRPr="008E3DF4">
          <w:rPr>
            <w:rStyle w:val="Hyperlink"/>
            <w:rFonts w:ascii="Times New Roman" w:hAnsi="Times New Roman" w:cs="Times New Roman"/>
            <w:i/>
          </w:rPr>
          <w:t>http://www.berghahnbooks.com/title/TournesGlobal</w:t>
        </w:r>
      </w:hyperlink>
      <w:r w:rsidR="008E3DF4" w:rsidRPr="008E3DF4">
        <w:rPr>
          <w:rFonts w:ascii="Times New Roman" w:hAnsi="Times New Roman" w:cs="Times New Roman"/>
          <w:i/>
        </w:rPr>
        <w:t xml:space="preserve"> </w:t>
      </w:r>
      <w:r w:rsidRPr="008E3DF4">
        <w:rPr>
          <w:rFonts w:ascii="Times New Roman" w:hAnsi="Times New Roman" w:cs="Times New Roman"/>
          <w:b/>
          <w:i/>
          <w:color w:val="FF0000"/>
        </w:rPr>
        <w:t xml:space="preserve">(ISBN: </w:t>
      </w:r>
      <w:r w:rsidRPr="008E3DF4">
        <w:rPr>
          <w:rFonts w:ascii="Times New Roman" w:eastAsia="Times New Roman" w:hAnsi="Times New Roman" w:cs="Times New Roman"/>
          <w:b/>
          <w:i/>
          <w:color w:val="FF0000"/>
          <w:lang w:val="en-SG"/>
        </w:rPr>
        <w:t>978</w:t>
      </w:r>
      <w:r w:rsidR="008E3DF4">
        <w:rPr>
          <w:rFonts w:ascii="Times New Roman" w:eastAsia="Times New Roman" w:hAnsi="Times New Roman" w:cs="Times New Roman"/>
          <w:b/>
          <w:i/>
          <w:color w:val="FF0000"/>
          <w:lang w:val="en-SG"/>
        </w:rPr>
        <w:t>-1-78533-702-4</w:t>
      </w:r>
      <w:r w:rsidRPr="008E3DF4">
        <w:rPr>
          <w:rFonts w:ascii="Times New Roman" w:eastAsia="Times New Roman" w:hAnsi="Times New Roman" w:cs="Times New Roman"/>
          <w:b/>
          <w:i/>
          <w:color w:val="FF0000"/>
          <w:lang w:val="en-SG"/>
        </w:rPr>
        <w:t>)</w:t>
      </w:r>
    </w:p>
    <w:p w14:paraId="3FF97B79" w14:textId="77777777" w:rsidR="00350102" w:rsidRDefault="00350102" w:rsidP="00317AC6">
      <w:pPr>
        <w:spacing w:line="480" w:lineRule="auto"/>
        <w:jc w:val="both"/>
        <w:rPr>
          <w:rFonts w:ascii="Times New Roman" w:hAnsi="Times New Roman" w:cs="Times New Roman"/>
          <w:lang w:val="en-US"/>
        </w:rPr>
      </w:pPr>
    </w:p>
    <w:p w14:paraId="4A17B16D" w14:textId="77777777" w:rsidR="00E76690" w:rsidRPr="00E76690" w:rsidRDefault="00E76690" w:rsidP="00317AC6">
      <w:pPr>
        <w:spacing w:line="480" w:lineRule="auto"/>
        <w:jc w:val="both"/>
        <w:rPr>
          <w:rFonts w:ascii="Times New Roman" w:hAnsi="Times New Roman" w:cs="Times New Roman"/>
        </w:rPr>
      </w:pPr>
    </w:p>
    <w:p w14:paraId="09FE81C3"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Tamson Pietsch &amp; Meng-Hsuan Chou</w:t>
      </w:r>
      <w:bookmarkStart w:id="0" w:name="_GoBack"/>
      <w:bookmarkEnd w:id="0"/>
    </w:p>
    <w:p w14:paraId="03C4BD2E" w14:textId="77777777" w:rsidR="00E76690" w:rsidRPr="00E76690" w:rsidRDefault="00E76690" w:rsidP="00317AC6">
      <w:pPr>
        <w:spacing w:line="480" w:lineRule="auto"/>
        <w:jc w:val="both"/>
        <w:rPr>
          <w:rFonts w:ascii="Times New Roman" w:hAnsi="Times New Roman" w:cs="Times New Roman"/>
        </w:rPr>
      </w:pPr>
    </w:p>
    <w:p w14:paraId="2D9A4F0D" w14:textId="77777777" w:rsidR="00E76690" w:rsidRPr="00E76690" w:rsidRDefault="00E76690" w:rsidP="00317AC6">
      <w:pPr>
        <w:spacing w:line="480" w:lineRule="auto"/>
        <w:jc w:val="both"/>
        <w:rPr>
          <w:rFonts w:ascii="Times New Roman" w:hAnsi="Times New Roman" w:cs="Times New Roman"/>
        </w:rPr>
      </w:pPr>
    </w:p>
    <w:p w14:paraId="13D76830" w14:textId="77777777" w:rsidR="00E76690" w:rsidRPr="00E76690" w:rsidRDefault="00E76690" w:rsidP="00317AC6">
      <w:pPr>
        <w:spacing w:line="480" w:lineRule="auto"/>
        <w:jc w:val="both"/>
        <w:rPr>
          <w:rFonts w:ascii="Times New Roman" w:hAnsi="Times New Roman" w:cs="Times New Roman"/>
        </w:rPr>
      </w:pPr>
    </w:p>
    <w:p w14:paraId="49C4B155"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t>Introduction</w:t>
      </w:r>
    </w:p>
    <w:p w14:paraId="19D3F70D" w14:textId="117C75FE"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 xml:space="preserve">Founded in 1901, the Rhodes </w:t>
      </w:r>
      <w:proofErr w:type="gramStart"/>
      <w:r w:rsidRPr="00E76690">
        <w:rPr>
          <w:rFonts w:ascii="Times New Roman" w:hAnsi="Times New Roman" w:cs="Times New Roman"/>
        </w:rPr>
        <w:t>Scholarship</w:t>
      </w:r>
      <w:proofErr w:type="gramEnd"/>
      <w:r w:rsidRPr="00E76690">
        <w:rPr>
          <w:rFonts w:ascii="Times New Roman" w:hAnsi="Times New Roman" w:cs="Times New Roman"/>
        </w:rPr>
        <w:t xml:space="preserve"> scheme is one of the longest running programs of scholarly exchange still in existence. It has been the model for many schemes that have since emerged. As such it offers an ideal context for examining, as well as rai</w:t>
      </w:r>
      <w:r w:rsidR="00AF3C73">
        <w:rPr>
          <w:rFonts w:ascii="Times New Roman" w:hAnsi="Times New Roman" w:cs="Times New Roman"/>
        </w:rPr>
        <w:t>sing new questions about</w:t>
      </w:r>
      <w:r w:rsidRPr="00E76690">
        <w:rPr>
          <w:rFonts w:ascii="Times New Roman" w:hAnsi="Times New Roman" w:cs="Times New Roman"/>
        </w:rPr>
        <w:t xml:space="preserve"> the organisation and overall efficacy of scholarly exchange across the twentieth century. </w:t>
      </w:r>
    </w:p>
    <w:p w14:paraId="73B97A26"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This chapter is the first attempt at a general historical analysis of the way the scholarship shaped the lives of those who received it. It takes a dual approach to the long view on scholarly exchange. Not only does it track the scholarship through the twentieth century, it also looks back to the 1890s and to the ideas and precedents that informed Rhodes and his executors. Beginning by placing the foundation of the Rhodes Scholarships in their historical context, the chapter then goes on to examine three basic issues that underpin most international exchange programs: first, the geographical distribution of award; second, gender parity in award; and, third, the long term geographical mobility of scholars. By bringing </w:t>
      </w:r>
      <w:r w:rsidRPr="00E76690">
        <w:rPr>
          <w:rFonts w:ascii="Times New Roman" w:hAnsi="Times New Roman" w:cs="Times New Roman"/>
        </w:rPr>
        <w:lastRenderedPageBreak/>
        <w:t>together historical and quantitative methods, it points to identifiable patterns of continuity, change, and regional diversity in the management and effect of the scheme.</w:t>
      </w:r>
    </w:p>
    <w:p w14:paraId="2D8FE823" w14:textId="77777777" w:rsidR="00E76690" w:rsidRPr="00E76690" w:rsidRDefault="00E76690" w:rsidP="00317AC6">
      <w:pPr>
        <w:spacing w:line="480" w:lineRule="auto"/>
        <w:jc w:val="both"/>
        <w:rPr>
          <w:rFonts w:ascii="Times New Roman" w:hAnsi="Times New Roman" w:cs="Times New Roman"/>
        </w:rPr>
      </w:pPr>
    </w:p>
    <w:p w14:paraId="04C94296" w14:textId="0B97F368" w:rsidR="00E76690" w:rsidRPr="00E76690" w:rsidRDefault="00B30766" w:rsidP="00317AC6">
      <w:pPr>
        <w:spacing w:line="480" w:lineRule="auto"/>
        <w:jc w:val="both"/>
        <w:rPr>
          <w:rFonts w:ascii="Times New Roman" w:hAnsi="Times New Roman" w:cs="Times New Roman"/>
        </w:rPr>
      </w:pPr>
      <w:r>
        <w:rPr>
          <w:rFonts w:ascii="Times New Roman" w:hAnsi="Times New Roman" w:cs="Times New Roman"/>
          <w:b/>
        </w:rPr>
        <w:t>Rhodes S</w:t>
      </w:r>
      <w:r w:rsidR="00E76690" w:rsidRPr="00E76690">
        <w:rPr>
          <w:rFonts w:ascii="Times New Roman" w:hAnsi="Times New Roman" w:cs="Times New Roman"/>
          <w:b/>
        </w:rPr>
        <w:t>cholarships: history and origins</w:t>
      </w:r>
    </w:p>
    <w:p w14:paraId="380C2CFD"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In 1901, the Cape Town politician and mining magnate, Cecil John Rhodes, left his considerable fortune to the establishment of a scheme of traveling scholarships. Bringing the most promising young men from across the English-speaking world to Oxford, Rhodes hoped to “instil into their minds the advantage to the Colonies as well as to the United Kingdom of the retention of the Unity of the Empire” and affect “the union of the English-speaking peoples throughout the world.” At the heart of Rhodes’ scheme was his belief that the experience of living and studying together in a residential university would “broaden [the] views” of his scholars, “instruct them in life and manners” and in the process foster ties of mutual understanding that would serve to “render war impossible.” It was, Rhodes believed, “educational relations [that] make the strongest tie.”</w:t>
      </w:r>
      <w:r w:rsidRPr="00E76690">
        <w:rPr>
          <w:rStyle w:val="EndnoteReference"/>
          <w:rFonts w:ascii="Times New Roman" w:hAnsi="Times New Roman" w:cs="Times New Roman"/>
        </w:rPr>
        <w:endnoteReference w:id="1"/>
      </w:r>
      <w:r w:rsidRPr="00E76690">
        <w:rPr>
          <w:rFonts w:ascii="Times New Roman" w:hAnsi="Times New Roman" w:cs="Times New Roman"/>
        </w:rPr>
        <w:t xml:space="preserve"> Interpersonal relationships and informal forms of association, rather than the explicit content of educational programs, were therefore at the core of Rhodes’ idea. </w:t>
      </w:r>
    </w:p>
    <w:p w14:paraId="4626BE1A"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In attempting to define the type of scholar he sought, Rhodes stipulated four selection criteria: (1) literary and scholastic attainment, (2) energy to use one’s talents to the full, as exemplified by fondness for and success in sports, (3) qualities of truth, courage, devotion to duty, sympathy for the protection of the weak, kindliness, unselfishness, and fellowship, and (4) exhibition of moral force of character and of instincts to lead that will guide one to esteem the performance of public duty as the highest aim. He explicitly sought scholars who would be “not merely bookworms” but rather “capable leaders of men”: a global elite who, through influence and public office, would work for future world order. This was a notion of </w:t>
      </w:r>
      <w:r w:rsidRPr="00E76690">
        <w:rPr>
          <w:rFonts w:ascii="Times New Roman" w:hAnsi="Times New Roman" w:cs="Times New Roman"/>
        </w:rPr>
        <w:lastRenderedPageBreak/>
        <w:t xml:space="preserve">leadership that extended beyond disciplinary proficiency and intellectual capacity. It emphasized the physical and charismatic qualities of leaders, and stressed as much on character and personality as it did on their academic attainments. </w:t>
      </w:r>
    </w:p>
    <w:p w14:paraId="5757BD44" w14:textId="00E9DE3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Targeted initially at the British colonies of white settlement (Canada, Australia, Southern Africa and New Zealand) and also the United States, Germany, Bermuda and Jamaica, the program expanded over the course of the twentieth century to also include African states, India and Pakistan, and for a time also Malaysia, Singapore and Hong Kong</w:t>
      </w:r>
      <w:r w:rsidR="00DD64A9">
        <w:rPr>
          <w:rFonts w:ascii="Times New Roman" w:hAnsi="Times New Roman" w:cs="Times New Roman"/>
        </w:rPr>
        <w:t>.</w:t>
      </w:r>
      <w:r w:rsidRPr="00E76690">
        <w:rPr>
          <w:rStyle w:val="EndnoteReference"/>
          <w:rFonts w:ascii="Times New Roman" w:hAnsi="Times New Roman" w:cs="Times New Roman"/>
        </w:rPr>
        <w:endnoteReference w:id="2"/>
      </w:r>
      <w:r w:rsidRPr="00E76690">
        <w:rPr>
          <w:rFonts w:ascii="Times New Roman" w:hAnsi="Times New Roman" w:cs="Times New Roman"/>
        </w:rPr>
        <w:t xml:space="preserve"> From 2015 a further expansion has extended the scholarships to China</w:t>
      </w:r>
      <w:r w:rsidR="00DD64A9">
        <w:rPr>
          <w:rFonts w:ascii="Times New Roman" w:hAnsi="Times New Roman" w:cs="Times New Roman"/>
        </w:rPr>
        <w:t>.</w:t>
      </w:r>
      <w:r w:rsidRPr="00E76690">
        <w:rPr>
          <w:rStyle w:val="EndnoteReference"/>
          <w:rFonts w:ascii="Times New Roman" w:hAnsi="Times New Roman" w:cs="Times New Roman"/>
        </w:rPr>
        <w:endnoteReference w:id="3"/>
      </w:r>
      <w:r w:rsidRPr="00E76690">
        <w:rPr>
          <w:rFonts w:ascii="Times New Roman" w:hAnsi="Times New Roman" w:cs="Times New Roman"/>
        </w:rPr>
        <w:t xml:space="preserve"> </w:t>
      </w:r>
    </w:p>
    <w:p w14:paraId="5C04C107" w14:textId="726A3F65"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Across this period the meaning and representation of the scholarship has also changed. It was initially embraced by liberal imperialist politicians who saw it as a way of creating common sentiments across borders, but received a lukewarm reception from Oxford academics, who thought that selection on the basis of well roundedness would lower academic standards of the whole institution. From the 1930s on this vision of imperial citizenship came under further criticism, not least from Rhodes Scholars themselves who began to champion nationalist sentiments. The emphasis and popular understanding of the scheme shifted again after World War II when in the 1950s its remit was expanded to include the countries of what was newly styled as the multi-racial British Commonwealth of Nations – moving from a discourse that emphasized race and the English-speaking peoples, to one rather that invoked internationalism. It was in this period too that the Rhodes program was taken u</w:t>
      </w:r>
      <w:r w:rsidR="00AF3C73">
        <w:rPr>
          <w:rFonts w:ascii="Times New Roman" w:hAnsi="Times New Roman" w:cs="Times New Roman"/>
        </w:rPr>
        <w:t>p as a model for the Fulbright s</w:t>
      </w:r>
      <w:r w:rsidRPr="00E76690">
        <w:rPr>
          <w:rFonts w:ascii="Times New Roman" w:hAnsi="Times New Roman" w:cs="Times New Roman"/>
        </w:rPr>
        <w:t xml:space="preserve">cholarships and since then it has been frequently cited as the inspiration of many newer schemes. Throughout this period, a key message from the Rhodes Trust was the informal moral obligation upon scholars to return and contribute to their countries of selection. At the start of the twenty first century the emphasis has shifted again. Reflecting changing political and economic governance patterns, “rather than imperial or </w:t>
      </w:r>
      <w:r w:rsidRPr="00E76690">
        <w:rPr>
          <w:rFonts w:ascii="Times New Roman" w:hAnsi="Times New Roman" w:cs="Times New Roman"/>
        </w:rPr>
        <w:lastRenderedPageBreak/>
        <w:t>national, it is increasingly now good global citizens that Cecil Rhodes’ traveling scholarships are thought to create.”</w:t>
      </w:r>
      <w:r w:rsidRPr="00E76690">
        <w:rPr>
          <w:rStyle w:val="EndnoteReference"/>
          <w:rFonts w:ascii="Times New Roman" w:hAnsi="Times New Roman" w:cs="Times New Roman"/>
        </w:rPr>
        <w:endnoteReference w:id="4"/>
      </w:r>
      <w:r w:rsidRPr="00E76690">
        <w:rPr>
          <w:rFonts w:ascii="Times New Roman" w:hAnsi="Times New Roman" w:cs="Times New Roman"/>
        </w:rPr>
        <w:t xml:space="preserve"> The Trust itself has begun to highlig</w:t>
      </w:r>
      <w:r w:rsidR="00AF3C73">
        <w:rPr>
          <w:rFonts w:ascii="Times New Roman" w:hAnsi="Times New Roman" w:cs="Times New Roman"/>
        </w:rPr>
        <w:t>ht the contributions of Rhodes s</w:t>
      </w:r>
      <w:r w:rsidRPr="00E76690">
        <w:rPr>
          <w:rFonts w:ascii="Times New Roman" w:hAnsi="Times New Roman" w:cs="Times New Roman"/>
        </w:rPr>
        <w:t>cholars in vari</w:t>
      </w:r>
      <w:r w:rsidR="00AF3C73">
        <w:rPr>
          <w:rFonts w:ascii="Times New Roman" w:hAnsi="Times New Roman" w:cs="Times New Roman"/>
        </w:rPr>
        <w:t>ous fields, including as Nobel l</w:t>
      </w:r>
      <w:r w:rsidRPr="00E76690">
        <w:rPr>
          <w:rFonts w:ascii="Times New Roman" w:hAnsi="Times New Roman" w:cs="Times New Roman"/>
        </w:rPr>
        <w:t>au</w:t>
      </w:r>
      <w:r w:rsidR="00AF3C73">
        <w:rPr>
          <w:rFonts w:ascii="Times New Roman" w:hAnsi="Times New Roman" w:cs="Times New Roman"/>
        </w:rPr>
        <w:t xml:space="preserve">reates, </w:t>
      </w:r>
      <w:proofErr w:type="gramStart"/>
      <w:r w:rsidR="00AF3C73">
        <w:rPr>
          <w:rFonts w:ascii="Times New Roman" w:hAnsi="Times New Roman" w:cs="Times New Roman"/>
        </w:rPr>
        <w:t>olympians</w:t>
      </w:r>
      <w:proofErr w:type="gramEnd"/>
      <w:r w:rsidR="00AF3C73">
        <w:rPr>
          <w:rFonts w:ascii="Times New Roman" w:hAnsi="Times New Roman" w:cs="Times New Roman"/>
        </w:rPr>
        <w:t xml:space="preserve"> and heads of s</w:t>
      </w:r>
      <w:r w:rsidRPr="00E76690">
        <w:rPr>
          <w:rFonts w:ascii="Times New Roman" w:hAnsi="Times New Roman" w:cs="Times New Roman"/>
        </w:rPr>
        <w:t>tate</w:t>
      </w:r>
      <w:r w:rsidR="00DD64A9">
        <w:rPr>
          <w:rFonts w:ascii="Times New Roman" w:hAnsi="Times New Roman" w:cs="Times New Roman"/>
        </w:rPr>
        <w:t>.</w:t>
      </w:r>
      <w:r w:rsidRPr="00E76690">
        <w:rPr>
          <w:rStyle w:val="EndnoteReference"/>
          <w:rFonts w:ascii="Times New Roman" w:hAnsi="Times New Roman" w:cs="Times New Roman"/>
        </w:rPr>
        <w:endnoteReference w:id="5"/>
      </w:r>
    </w:p>
    <w:p w14:paraId="3D6E15E4" w14:textId="686A8F7F"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How are we to examine the effects of the Rhodes program, when not only its geographical distribution, but also its stated aims, self presentation, and context have changed radically across the twentieth century? High profile individuals such as Bill Clinton, Bob Hawke, Wasim Sahhad, John Turner and Norman Manley have done much to shape the public image and maintain the program’s prestige. But – although they form an important subset of alumni – most scholars have not gone on to careers as political representatives</w:t>
      </w:r>
      <w:r w:rsidR="00DD64A9">
        <w:rPr>
          <w:rFonts w:ascii="Times New Roman" w:hAnsi="Times New Roman" w:cs="Times New Roman"/>
        </w:rPr>
        <w:t>.</w:t>
      </w:r>
      <w:r w:rsidRPr="00E76690">
        <w:rPr>
          <w:rStyle w:val="EndnoteReference"/>
          <w:rFonts w:ascii="Times New Roman" w:hAnsi="Times New Roman" w:cs="Times New Roman"/>
        </w:rPr>
        <w:endnoteReference w:id="6"/>
      </w:r>
      <w:r w:rsidRPr="00E76690">
        <w:rPr>
          <w:rFonts w:ascii="Times New Roman" w:hAnsi="Times New Roman" w:cs="Times New Roman"/>
        </w:rPr>
        <w:t xml:space="preserve">  Despite publicly available information on eligibility, internal analyses of more recent cohorts, sect</w:t>
      </w:r>
      <w:r w:rsidR="00AF3C73">
        <w:rPr>
          <w:rFonts w:ascii="Times New Roman" w:hAnsi="Times New Roman" w:cs="Times New Roman"/>
        </w:rPr>
        <w:t>ional studies (e.g. The Rhodes p</w:t>
      </w:r>
      <w:r w:rsidRPr="00E76690">
        <w:rPr>
          <w:rFonts w:ascii="Times New Roman" w:hAnsi="Times New Roman" w:cs="Times New Roman"/>
        </w:rPr>
        <w:t>roject on female Rhodes scholars) and the Trust’s promotional materials, a consolidated, longitudinal assessment of the Rhodes program is wanting. In this chapter we longitudinally analyze the publ</w:t>
      </w:r>
      <w:r w:rsidR="00AF3C73">
        <w:rPr>
          <w:rFonts w:ascii="Times New Roman" w:hAnsi="Times New Roman" w:cs="Times New Roman"/>
        </w:rPr>
        <w:t>icly accessible data on Rhodes s</w:t>
      </w:r>
      <w:r w:rsidRPr="00E76690">
        <w:rPr>
          <w:rFonts w:ascii="Times New Roman" w:hAnsi="Times New Roman" w:cs="Times New Roman"/>
        </w:rPr>
        <w:t xml:space="preserve">cholars as published in the </w:t>
      </w:r>
      <w:r w:rsidR="00B30766">
        <w:rPr>
          <w:rFonts w:ascii="Times New Roman" w:hAnsi="Times New Roman" w:cs="Times New Roman"/>
          <w:i/>
        </w:rPr>
        <w:t>Register</w:t>
      </w:r>
      <w:r w:rsidRPr="00E76690">
        <w:rPr>
          <w:rFonts w:ascii="Times New Roman" w:hAnsi="Times New Roman" w:cs="Times New Roman"/>
          <w:i/>
        </w:rPr>
        <w:t xml:space="preserve"> of Rhodes Scholars</w:t>
      </w:r>
      <w:r w:rsidRPr="00E76690">
        <w:rPr>
          <w:rFonts w:ascii="Times New Roman" w:hAnsi="Times New Roman" w:cs="Times New Roman"/>
        </w:rPr>
        <w:t xml:space="preserve"> to reveal their mobility patterns over the course of the twentieth century</w:t>
      </w:r>
      <w:r w:rsidR="00DD64A9">
        <w:rPr>
          <w:rFonts w:ascii="Times New Roman" w:hAnsi="Times New Roman" w:cs="Times New Roman"/>
        </w:rPr>
        <w:t>.</w:t>
      </w:r>
      <w:r w:rsidRPr="00E76690">
        <w:rPr>
          <w:rStyle w:val="EndnoteReference"/>
          <w:rFonts w:ascii="Times New Roman" w:hAnsi="Times New Roman" w:cs="Times New Roman"/>
        </w:rPr>
        <w:endnoteReference w:id="7"/>
      </w:r>
    </w:p>
    <w:p w14:paraId="434A9854"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 xml:space="preserve"> </w:t>
      </w:r>
    </w:p>
    <w:p w14:paraId="1FC2B9D1"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t>The Rhodes foundation in context</w:t>
      </w:r>
    </w:p>
    <w:p w14:paraId="0C5F3E9A" w14:textId="2C767493"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 xml:space="preserve">This volume emphasizes the need to take the long view on scholarly exchange programs; to move away from a hagiographic focus </w:t>
      </w:r>
      <w:r w:rsidR="00C514C6">
        <w:rPr>
          <w:rFonts w:ascii="Times New Roman" w:hAnsi="Times New Roman" w:cs="Times New Roman"/>
        </w:rPr>
        <w:t>on a small cohort of prominent ‘familiar suspects’</w:t>
      </w:r>
      <w:r w:rsidRPr="00E76690">
        <w:rPr>
          <w:rFonts w:ascii="Times New Roman" w:hAnsi="Times New Roman" w:cs="Times New Roman"/>
        </w:rPr>
        <w:t xml:space="preserve"> and instead to examine the program’s impact on the after careers of all grantees. This is an important and necessary endeavor, but in focusing on the after effects of exchange programs, there is a danger of reifying their moment of foundation – an event which is frequently given mythic status by the programs themselves and their institutional histories. This is particularly </w:t>
      </w:r>
      <w:r w:rsidR="00DD3793">
        <w:rPr>
          <w:rFonts w:ascii="Times New Roman" w:hAnsi="Times New Roman" w:cs="Times New Roman"/>
        </w:rPr>
        <w:t>true in the case of the Rhodes S</w:t>
      </w:r>
      <w:r w:rsidRPr="00E76690">
        <w:rPr>
          <w:rFonts w:ascii="Times New Roman" w:hAnsi="Times New Roman" w:cs="Times New Roman"/>
        </w:rPr>
        <w:t xml:space="preserve">cholarships which are frequently celebrated as the personal </w:t>
      </w:r>
      <w:r w:rsidRPr="00E76690">
        <w:rPr>
          <w:rFonts w:ascii="Times New Roman" w:hAnsi="Times New Roman" w:cs="Times New Roman"/>
        </w:rPr>
        <w:lastRenderedPageBreak/>
        <w:t>creation of Cecil Rhodes and abstracted from the wider context out of which they grew. Until very recently it was traditional for scholar</w:t>
      </w:r>
      <w:r w:rsidR="00C514C6">
        <w:rPr>
          <w:rFonts w:ascii="Times New Roman" w:hAnsi="Times New Roman" w:cs="Times New Roman"/>
        </w:rPr>
        <w:t>s to raise a toast to ‘The Founder’</w:t>
      </w:r>
      <w:r w:rsidRPr="00E76690">
        <w:rPr>
          <w:rFonts w:ascii="Times New Roman" w:hAnsi="Times New Roman" w:cs="Times New Roman"/>
        </w:rPr>
        <w:t xml:space="preserve"> at formal events of the Rhodes Trust.</w:t>
      </w:r>
    </w:p>
    <w:p w14:paraId="3CF14BD9" w14:textId="7E2EFE9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In his 1998 biography of Cecil Rhodes, Robert Rotberg does acknowledge that Rhodes “almost certainly derived his ideas” from two men who, in the 1890s, were already planning a scholarship scheme for colonial students</w:t>
      </w:r>
      <w:r w:rsidR="00DD64A9">
        <w:rPr>
          <w:rFonts w:ascii="Times New Roman" w:hAnsi="Times New Roman" w:cs="Times New Roman"/>
        </w:rPr>
        <w:t>.</w:t>
      </w:r>
      <w:r w:rsidRPr="00E76690">
        <w:rPr>
          <w:rStyle w:val="EndnoteReference"/>
          <w:rFonts w:ascii="Times New Roman" w:hAnsi="Times New Roman" w:cs="Times New Roman"/>
        </w:rPr>
        <w:endnoteReference w:id="8"/>
      </w:r>
      <w:r w:rsidRPr="00E76690">
        <w:rPr>
          <w:rFonts w:ascii="Times New Roman" w:hAnsi="Times New Roman" w:cs="Times New Roman"/>
        </w:rPr>
        <w:t xml:space="preserve"> In July of 1891, J. Astley Cooper, editor of the London weekly publication, </w:t>
      </w:r>
      <w:r w:rsidRPr="00E76690">
        <w:rPr>
          <w:rFonts w:ascii="Times New Roman" w:hAnsi="Times New Roman" w:cs="Times New Roman"/>
          <w:i/>
        </w:rPr>
        <w:t>Greater Britain</w:t>
      </w:r>
      <w:r w:rsidRPr="00E76690">
        <w:rPr>
          <w:rFonts w:ascii="Times New Roman" w:hAnsi="Times New Roman" w:cs="Times New Roman"/>
        </w:rPr>
        <w:t>, had published his proposal for a “periodical gathering of representatives of the [English] race in a festival and contest of industry, athletics, and culture</w:t>
      </w:r>
      <w:r w:rsidR="00DD64A9">
        <w:rPr>
          <w:rFonts w:ascii="Times New Roman" w:hAnsi="Times New Roman" w:cs="Times New Roman"/>
        </w:rPr>
        <w:t>.</w:t>
      </w:r>
      <w:r w:rsidRPr="00E76690">
        <w:rPr>
          <w:rFonts w:ascii="Times New Roman" w:hAnsi="Times New Roman" w:cs="Times New Roman"/>
        </w:rPr>
        <w:t>”</w:t>
      </w:r>
      <w:r w:rsidRPr="00E76690">
        <w:rPr>
          <w:rStyle w:val="EndnoteReference"/>
          <w:rFonts w:ascii="Times New Roman" w:hAnsi="Times New Roman" w:cs="Times New Roman"/>
        </w:rPr>
        <w:endnoteReference w:id="9"/>
      </w:r>
      <w:r w:rsidRPr="00E76690">
        <w:rPr>
          <w:rFonts w:ascii="Times New Roman" w:hAnsi="Times New Roman" w:cs="Times New Roman"/>
        </w:rPr>
        <w:t xml:space="preserve"> Cooper argued that such an event would foster imperial good will while also strengthening “family bonds” with the United States. He first proposed the idea of university scholarships as part of this festival in an article a few months later, adding in parentheses, “(there are none in existence yet).”</w:t>
      </w:r>
      <w:r w:rsidRPr="00E76690">
        <w:rPr>
          <w:rStyle w:val="EndnoteReference"/>
          <w:rFonts w:ascii="Times New Roman" w:hAnsi="Times New Roman" w:cs="Times New Roman"/>
        </w:rPr>
        <w:endnoteReference w:id="10"/>
      </w:r>
      <w:r w:rsidRPr="00E76690">
        <w:rPr>
          <w:rFonts w:ascii="Times New Roman" w:hAnsi="Times New Roman" w:cs="Times New Roman"/>
        </w:rPr>
        <w:t xml:space="preserve"> </w:t>
      </w:r>
    </w:p>
    <w:p w14:paraId="0FF79CA0" w14:textId="047D9CCA"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A year later Professor Thomas Hudson Beare, an engineer from South Australia who held chairs at University College London and the University of Edinburgh, developed Cooper’s plans further, suggesting they should be called the “Britannic scholarships” and outlining the details of a scheme that shares distinct similarities with that later proposed by Rhodes</w:t>
      </w:r>
      <w:r w:rsidR="00DD64A9">
        <w:rPr>
          <w:rFonts w:ascii="Times New Roman" w:hAnsi="Times New Roman" w:cs="Times New Roman"/>
        </w:rPr>
        <w:t>.</w:t>
      </w:r>
      <w:r w:rsidRPr="00E76690">
        <w:rPr>
          <w:rStyle w:val="EndnoteReference"/>
          <w:rFonts w:ascii="Times New Roman" w:hAnsi="Times New Roman" w:cs="Times New Roman"/>
        </w:rPr>
        <w:endnoteReference w:id="11"/>
      </w:r>
      <w:r w:rsidRPr="00E76690">
        <w:rPr>
          <w:rFonts w:ascii="Times New Roman" w:hAnsi="Times New Roman" w:cs="Times New Roman"/>
        </w:rPr>
        <w:t xml:space="preserve"> A hundred scholars were to travel to Britain from each of the principal [white settler] colonies, while postgraduate awards were to enable British students to pursue research in the empire. “On his return to his Colony,” concluded Beare, “each student would form a nucleus around which would gather all that was best, and each would form another of those invisible ties, stronger than any which can be devised by the cunning of law makers, which will keep together, for good or ill, the Anglo-Saxon race.” According to Rotberg, Rhodes “doubtless learned” of these ideas through his and Cooper’s close associate, the journalist and imperialist, William Thomas Stead, and throughout the 1890s Rhodes gave more and more </w:t>
      </w:r>
      <w:r w:rsidRPr="00E76690">
        <w:rPr>
          <w:rFonts w:ascii="Times New Roman" w:hAnsi="Times New Roman" w:cs="Times New Roman"/>
        </w:rPr>
        <w:lastRenderedPageBreak/>
        <w:t>attention to his educational “big idea.”</w:t>
      </w:r>
      <w:r w:rsidRPr="00E76690">
        <w:rPr>
          <w:rStyle w:val="EndnoteReference"/>
          <w:rFonts w:ascii="Times New Roman" w:hAnsi="Times New Roman" w:cs="Times New Roman"/>
        </w:rPr>
        <w:endnoteReference w:id="12"/>
      </w:r>
      <w:r w:rsidRPr="00E76690">
        <w:rPr>
          <w:rFonts w:ascii="Times New Roman" w:hAnsi="Times New Roman" w:cs="Times New Roman"/>
        </w:rPr>
        <w:t xml:space="preserve">  But with their emphasis on fostering informal ties through friendship among students from the white settler colonies, and with their connection to sport and physical activity, Cooper and Beare’s “Britannic Scholarships” point clearly to the connections Rhodes’ contemporaries were making between imperial federation, sociability, and education.</w:t>
      </w:r>
    </w:p>
    <w:p w14:paraId="294062F8" w14:textId="2A937E83"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At the time of Cooper’s 1891 claim there in fact already existed an empire-wide scheme of traveling scholarships. </w:t>
      </w:r>
      <w:r w:rsidR="00B30766">
        <w:rPr>
          <w:rFonts w:ascii="Times New Roman" w:hAnsi="Times New Roman" w:cs="Times New Roman"/>
        </w:rPr>
        <w:t>These were the 1851 Exhibition S</w:t>
      </w:r>
      <w:r w:rsidRPr="00E76690">
        <w:rPr>
          <w:rFonts w:ascii="Times New Roman" w:hAnsi="Times New Roman" w:cs="Times New Roman"/>
        </w:rPr>
        <w:t>cholarships, established in 1899 by the Commissioners of the 1851 Great Exhibition, and awarded to “the most promising students” from the universities of the settler colonies, Ireland, and the provincial cities of Britain so that they might “complete their studies either in those colleges or in the larger institutions of the metropolis.” Given the publici</w:t>
      </w:r>
      <w:r w:rsidR="00C514C6">
        <w:rPr>
          <w:rFonts w:ascii="Times New Roman" w:hAnsi="Times New Roman" w:cs="Times New Roman"/>
        </w:rPr>
        <w:t>ty accorded the 1851 Exhibition</w:t>
      </w:r>
      <w:r w:rsidR="00DD3793">
        <w:rPr>
          <w:rFonts w:ascii="Times New Roman" w:hAnsi="Times New Roman" w:cs="Times New Roman"/>
        </w:rPr>
        <w:t xml:space="preserve"> S</w:t>
      </w:r>
      <w:r w:rsidR="00316BC6">
        <w:rPr>
          <w:rFonts w:ascii="Times New Roman" w:hAnsi="Times New Roman" w:cs="Times New Roman"/>
        </w:rPr>
        <w:t>cholarships</w:t>
      </w:r>
      <w:r w:rsidRPr="00E76690">
        <w:rPr>
          <w:rFonts w:ascii="Times New Roman" w:hAnsi="Times New Roman" w:cs="Times New Roman"/>
        </w:rPr>
        <w:t xml:space="preserve"> in scientific circles, it is likely Beare knew them well. With a focus on “extending the influence of science and art upon productive industry,” they differed to the scheme of Cooper and Beare in two main respects. First</w:t>
      </w:r>
      <w:r w:rsidR="00DD3793">
        <w:rPr>
          <w:rFonts w:ascii="Times New Roman" w:hAnsi="Times New Roman" w:cs="Times New Roman"/>
        </w:rPr>
        <w:t>, the 1851 Exhibition S</w:t>
      </w:r>
      <w:r w:rsidR="00C514C6">
        <w:rPr>
          <w:rFonts w:ascii="Times New Roman" w:hAnsi="Times New Roman" w:cs="Times New Roman"/>
        </w:rPr>
        <w:t>cholarship</w:t>
      </w:r>
      <w:r w:rsidR="00316BC6">
        <w:rPr>
          <w:rFonts w:ascii="Times New Roman" w:hAnsi="Times New Roman" w:cs="Times New Roman"/>
        </w:rPr>
        <w:t>s</w:t>
      </w:r>
      <w:r w:rsidRPr="00E76690">
        <w:rPr>
          <w:rFonts w:ascii="Times New Roman" w:hAnsi="Times New Roman" w:cs="Times New Roman"/>
        </w:rPr>
        <w:t xml:space="preserve"> placed an explicit emphasis upon the content of studies, and, second, they placed the universities in the colonies alongside those in the provincial centers of Britain, seeing both as key to “national” development</w:t>
      </w:r>
      <w:r w:rsidR="00DD64A9">
        <w:rPr>
          <w:rFonts w:ascii="Times New Roman" w:hAnsi="Times New Roman" w:cs="Times New Roman"/>
        </w:rPr>
        <w:t>.</w:t>
      </w:r>
      <w:r w:rsidRPr="00E76690">
        <w:rPr>
          <w:rStyle w:val="EndnoteReference"/>
          <w:rFonts w:ascii="Times New Roman" w:hAnsi="Times New Roman" w:cs="Times New Roman"/>
        </w:rPr>
        <w:endnoteReference w:id="13"/>
      </w:r>
      <w:r w:rsidRPr="00E76690">
        <w:rPr>
          <w:rFonts w:ascii="Times New Roman" w:hAnsi="Times New Roman" w:cs="Times New Roman"/>
        </w:rPr>
        <w:t xml:space="preserve"> </w:t>
      </w:r>
    </w:p>
    <w:p w14:paraId="26218A74" w14:textId="127F2C01"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Unlike Cooper and Be</w:t>
      </w:r>
      <w:r w:rsidR="00DD3793">
        <w:rPr>
          <w:rFonts w:ascii="Times New Roman" w:hAnsi="Times New Roman" w:cs="Times New Roman"/>
        </w:rPr>
        <w:t>are and later Rhodes, the 1851 c</w:t>
      </w:r>
      <w:r w:rsidRPr="00E76690">
        <w:rPr>
          <w:rFonts w:ascii="Times New Roman" w:hAnsi="Times New Roman" w:cs="Times New Roman"/>
        </w:rPr>
        <w:t>ommissioners did not principally see their scholarships as a mechanism for fostering imperial loyalty, but rather as a means of building national scientific and industrial capacity.</w:t>
      </w:r>
      <w:r w:rsidRPr="00E76690">
        <w:rPr>
          <w:rStyle w:val="EndnoteReference"/>
          <w:rFonts w:ascii="Times New Roman" w:hAnsi="Times New Roman" w:cs="Times New Roman"/>
        </w:rPr>
        <w:endnoteReference w:id="14"/>
      </w:r>
      <w:r w:rsidRPr="00E76690">
        <w:rPr>
          <w:rFonts w:ascii="Times New Roman" w:hAnsi="Times New Roman" w:cs="Times New Roman"/>
        </w:rPr>
        <w:t xml:space="preserve"> In this the 1851 Exhibition</w:t>
      </w:r>
      <w:r w:rsidR="00DD3793">
        <w:rPr>
          <w:rFonts w:ascii="Times New Roman" w:hAnsi="Times New Roman" w:cs="Times New Roman"/>
        </w:rPr>
        <w:t xml:space="preserve"> S</w:t>
      </w:r>
      <w:r w:rsidRPr="00E76690">
        <w:rPr>
          <w:rFonts w:ascii="Times New Roman" w:hAnsi="Times New Roman" w:cs="Times New Roman"/>
        </w:rPr>
        <w:t>cholarships were by no means unique. By the 1890s, a host of universities across the colonies of the British Empire had established scholarships that were designed to take their most promising graduates on to further study in Britain</w:t>
      </w:r>
      <w:r w:rsidR="00DD64A9">
        <w:rPr>
          <w:rFonts w:ascii="Times New Roman" w:hAnsi="Times New Roman" w:cs="Times New Roman"/>
        </w:rPr>
        <w:t>.</w:t>
      </w:r>
      <w:r w:rsidRPr="00E76690">
        <w:rPr>
          <w:rStyle w:val="EndnoteReference"/>
          <w:rFonts w:ascii="Times New Roman" w:hAnsi="Times New Roman" w:cs="Times New Roman"/>
        </w:rPr>
        <w:endnoteReference w:id="15"/>
      </w:r>
      <w:r w:rsidRPr="00E76690">
        <w:rPr>
          <w:rFonts w:ascii="Times New Roman" w:hAnsi="Times New Roman" w:cs="Times New Roman"/>
        </w:rPr>
        <w:t xml:space="preserve"> In fact, Thomas Hudson Beare was himself a recipient of one of them – the South Australian Scholarship. And when in the 1890s </w:t>
      </w:r>
      <w:r w:rsidRPr="00E76690">
        <w:rPr>
          <w:rFonts w:ascii="Times New Roman" w:hAnsi="Times New Roman" w:cs="Times New Roman"/>
        </w:rPr>
        <w:lastRenderedPageBreak/>
        <w:t xml:space="preserve">Cecil Rhodes was thinking about the form his own program might take, there were already eight “traveling scholarships” taking graduates from the Cape of Good Hope University to the United Kingdom. Such scholarships were focused on academic attainment and saw study in the ancient universities of Scotland and England as the apex of local educational structures. </w:t>
      </w:r>
    </w:p>
    <w:p w14:paraId="6FC94D1E"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The tension between these two hopes for scholarly exchange – as a means of fostering identity and good will on the one hand, and intellectual and technical capacity on the other – sit at the heart not just of the Rhodes program, but also of similar exchange schemes throughout the twentieth century. From Fulbright to Erasmus, it is a tension that is rarely resolved.</w:t>
      </w:r>
    </w:p>
    <w:p w14:paraId="66CBD310" w14:textId="77777777" w:rsidR="00DD64A9" w:rsidRPr="00E76690" w:rsidRDefault="00DD64A9" w:rsidP="00317AC6">
      <w:pPr>
        <w:spacing w:line="480" w:lineRule="auto"/>
        <w:jc w:val="both"/>
        <w:rPr>
          <w:rFonts w:ascii="Times New Roman" w:hAnsi="Times New Roman" w:cs="Times New Roman"/>
        </w:rPr>
      </w:pPr>
    </w:p>
    <w:p w14:paraId="5EB3949F"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t>Election constituencies: changing with the (political and economic) times</w:t>
      </w:r>
    </w:p>
    <w:p w14:paraId="2A598BC1"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In his Will of 1901, Rhodes stipulated the constituencies to which he wanted scholarships to go. Rhodesia was to receive three a year; South Africa, five; Australia, six; New Zealand, one; Canada, three; and Bermuda and Jamaica one each. A further 32 were allotted on a more complex formula to the United States. In a codicil written in 1901, Rhodes also noted that the German Emperor had “made instruction in English compulsory in German schools,” and on the basis of this he left five yearly scholarships to students of German birth, the object being “that an understanding between the three great powers [Britain, the USA and Germany] will render war impossible [as] educational relations make the strongest tie.”</w:t>
      </w:r>
      <w:r w:rsidRPr="00E76690">
        <w:rPr>
          <w:rStyle w:val="EndnoteReference"/>
          <w:rFonts w:ascii="Times New Roman" w:hAnsi="Times New Roman" w:cs="Times New Roman"/>
        </w:rPr>
        <w:endnoteReference w:id="16"/>
      </w:r>
      <w:r w:rsidRPr="00E76690">
        <w:rPr>
          <w:rFonts w:ascii="Times New Roman" w:hAnsi="Times New Roman" w:cs="Times New Roman"/>
        </w:rPr>
        <w:t xml:space="preserve"> </w:t>
      </w:r>
    </w:p>
    <w:p w14:paraId="4853257B" w14:textId="1E7DF619"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The original footprint of the scholarship thus reflected the racial and imperial philosophy at the heart of Rhodes scheme. It was not just friendship between the leading powers of the day that he sought to foster, but particularly friendship between the “Anglo-saxon peoples” of Britain, the United States, and Germany. As indicated above, this geographic distribution has changed significantly over time, to such an extent that the Rhodes </w:t>
      </w:r>
      <w:r w:rsidRPr="00E76690">
        <w:rPr>
          <w:rFonts w:ascii="Times New Roman" w:hAnsi="Times New Roman" w:cs="Times New Roman"/>
        </w:rPr>
        <w:lastRenderedPageBreak/>
        <w:t>Scholarships are now sometimes claimed as the first that sought to fashion and attract the “human capital” of a global knowledge economy</w:t>
      </w:r>
      <w:r w:rsidR="00DD64A9">
        <w:rPr>
          <w:rFonts w:ascii="Times New Roman" w:hAnsi="Times New Roman" w:cs="Times New Roman"/>
        </w:rPr>
        <w:t>.</w:t>
      </w:r>
      <w:r w:rsidRPr="00E76690">
        <w:rPr>
          <w:rStyle w:val="EndnoteReference"/>
          <w:rFonts w:ascii="Times New Roman" w:hAnsi="Times New Roman" w:cs="Times New Roman"/>
        </w:rPr>
        <w:endnoteReference w:id="17"/>
      </w:r>
      <w:r w:rsidR="00C71674">
        <w:rPr>
          <w:rFonts w:ascii="Times New Roman" w:hAnsi="Times New Roman" w:cs="Times New Roman"/>
        </w:rPr>
        <w:t xml:space="preserve"> Just how “global”</w:t>
      </w:r>
      <w:r w:rsidRPr="00E76690">
        <w:rPr>
          <w:rFonts w:ascii="Times New Roman" w:hAnsi="Times New Roman" w:cs="Times New Roman"/>
        </w:rPr>
        <w:t xml:space="preserve"> they are, however, is less clear. To track the changing patterns of regional allocation of the scholarship over the twentieth century, we used the data published by the Rhodes Trust to calculate the number of scholarships awarded by country per year</w:t>
      </w:r>
      <w:r w:rsidR="00DD64A9">
        <w:rPr>
          <w:rFonts w:ascii="Times New Roman" w:hAnsi="Times New Roman" w:cs="Times New Roman"/>
        </w:rPr>
        <w:t>.</w:t>
      </w:r>
      <w:r w:rsidRPr="00E76690">
        <w:rPr>
          <w:rStyle w:val="EndnoteReference"/>
          <w:rFonts w:ascii="Times New Roman" w:hAnsi="Times New Roman" w:cs="Times New Roman"/>
        </w:rPr>
        <w:endnoteReference w:id="18"/>
      </w:r>
    </w:p>
    <w:p w14:paraId="38D1CCA1" w14:textId="77777777" w:rsidR="00E76690" w:rsidRPr="00E76690" w:rsidRDefault="00E76690" w:rsidP="00317AC6">
      <w:pPr>
        <w:spacing w:line="480" w:lineRule="auto"/>
        <w:jc w:val="both"/>
        <w:rPr>
          <w:rFonts w:ascii="Times New Roman" w:hAnsi="Times New Roman" w:cs="Times New Roman"/>
        </w:rPr>
      </w:pPr>
    </w:p>
    <w:p w14:paraId="63A41A5F" w14:textId="77777777" w:rsidR="00E76690" w:rsidRPr="00E76690" w:rsidRDefault="00E76690" w:rsidP="00317AC6">
      <w:pPr>
        <w:spacing w:line="480" w:lineRule="auto"/>
        <w:jc w:val="both"/>
        <w:rPr>
          <w:rFonts w:ascii="Times New Roman" w:hAnsi="Times New Roman" w:cs="Times New Roman"/>
        </w:rPr>
      </w:pPr>
      <w:r w:rsidRPr="00942C2E">
        <w:rPr>
          <w:rFonts w:ascii="Times New Roman" w:hAnsi="Times New Roman" w:cs="Times New Roman"/>
        </w:rPr>
        <w:t>[Figure 1]</w:t>
      </w:r>
    </w:p>
    <w:p w14:paraId="29949F35" w14:textId="77777777" w:rsidR="00E76690" w:rsidRPr="00E76690" w:rsidRDefault="00E76690" w:rsidP="00317AC6">
      <w:pPr>
        <w:spacing w:line="480" w:lineRule="auto"/>
        <w:jc w:val="both"/>
        <w:rPr>
          <w:rFonts w:ascii="Times New Roman" w:hAnsi="Times New Roman" w:cs="Times New Roman"/>
        </w:rPr>
      </w:pPr>
    </w:p>
    <w:p w14:paraId="45AC6EEC"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As Figure 1 shows, the number of scholarships awarded annually has varied considerably, from a low of one (in 1943) to a high of ninety-eight (in 1911) but averaging at sixty-seven per year across the whole 110 year period. Throughout this period, the Trustees have added (but also subsequently discontinued) approximately forty additional scholarships. Notably, the first decade of the scheme’s operation points to the regional nature of this variation with the American arm of the program displaying an episodic pattern of award. Immediately evident is the variation of award in some constituencies (such as Germany and East Africa), and the continuity of award in others (South Africa, the United States, Australia, New Zealand and Canada).</w:t>
      </w:r>
    </w:p>
    <w:p w14:paraId="03283632" w14:textId="775C008F"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This long view on the changing geographic distribution of award points to the close relationship between it and the wider contemporary global political and economic forces. The shifting politics of the British Empire is clearly reflected in this data. The regions initially identified by Rhodes in his </w:t>
      </w:r>
      <w:proofErr w:type="gramStart"/>
      <w:r w:rsidRPr="00E76690">
        <w:rPr>
          <w:rFonts w:ascii="Times New Roman" w:hAnsi="Times New Roman" w:cs="Times New Roman"/>
        </w:rPr>
        <w:t>Will</w:t>
      </w:r>
      <w:proofErr w:type="gramEnd"/>
      <w:r w:rsidRPr="00E76690">
        <w:rPr>
          <w:rFonts w:ascii="Times New Roman" w:hAnsi="Times New Roman" w:cs="Times New Roman"/>
        </w:rPr>
        <w:t xml:space="preserve"> reflect the concern at the turn of the twentieth century in British imperial politics with the “settler colonies” and moves toward what was called at the time “imperial federation.”</w:t>
      </w:r>
      <w:r w:rsidRPr="00E76690">
        <w:rPr>
          <w:rStyle w:val="EndnoteReference"/>
          <w:rFonts w:ascii="Times New Roman" w:hAnsi="Times New Roman" w:cs="Times New Roman"/>
        </w:rPr>
        <w:endnoteReference w:id="19"/>
      </w:r>
      <w:r w:rsidRPr="00E76690">
        <w:rPr>
          <w:rFonts w:ascii="Times New Roman" w:hAnsi="Times New Roman" w:cs="Times New Roman"/>
        </w:rPr>
        <w:t xml:space="preserve"> With the exception of Germany (on which, see below), since 1902 there has continued to be a stability of award in these core constituencies. This reflects a </w:t>
      </w:r>
      <w:r w:rsidRPr="00E76690">
        <w:rPr>
          <w:rFonts w:ascii="Times New Roman" w:hAnsi="Times New Roman" w:cs="Times New Roman"/>
        </w:rPr>
        <w:lastRenderedPageBreak/>
        <w:t>stipulation in the original Will which directed that, in the event of insufficient income, the order of priority</w:t>
      </w:r>
      <w:r w:rsidR="00160A91">
        <w:rPr>
          <w:rFonts w:ascii="Times New Roman" w:hAnsi="Times New Roman" w:cs="Times New Roman"/>
        </w:rPr>
        <w:t xml:space="preserve"> regulating the payment of the s</w:t>
      </w:r>
      <w:r w:rsidRPr="00E76690">
        <w:rPr>
          <w:rFonts w:ascii="Times New Roman" w:hAnsi="Times New Roman" w:cs="Times New Roman"/>
        </w:rPr>
        <w:t>cholarships should be: Rhodesia, South Africa, other colonial scholarships (i.e. Canada, Australia, New Zealand etc.), and finally America</w:t>
      </w:r>
      <w:r w:rsidR="00DD64A9">
        <w:rPr>
          <w:rFonts w:ascii="Times New Roman" w:hAnsi="Times New Roman" w:cs="Times New Roman"/>
        </w:rPr>
        <w:t>.</w:t>
      </w:r>
      <w:r w:rsidRPr="00E76690">
        <w:rPr>
          <w:rStyle w:val="EndnoteReference"/>
          <w:rFonts w:ascii="Times New Roman" w:hAnsi="Times New Roman" w:cs="Times New Roman"/>
        </w:rPr>
        <w:endnoteReference w:id="20"/>
      </w:r>
      <w:r w:rsidRPr="00E76690">
        <w:rPr>
          <w:rFonts w:ascii="Times New Roman" w:hAnsi="Times New Roman" w:cs="Times New Roman"/>
        </w:rPr>
        <w:t xml:space="preserve"> But the expansion of the scholarships to include India and Pakistan, Sri Lanka, and Malaysia in the 1940s to the 1970s reflects changes to imperial politics that took place in this period. From an approach before the 1930s t</w:t>
      </w:r>
      <w:r w:rsidR="00160A91">
        <w:rPr>
          <w:rFonts w:ascii="Times New Roman" w:hAnsi="Times New Roman" w:cs="Times New Roman"/>
        </w:rPr>
        <w:t>hat bifurcated the settler and “dependent”</w:t>
      </w:r>
      <w:r w:rsidRPr="00E76690">
        <w:rPr>
          <w:rFonts w:ascii="Times New Roman" w:hAnsi="Times New Roman" w:cs="Times New Roman"/>
        </w:rPr>
        <w:t xml:space="preserve"> colonies, it manifests the shift to a more inclusive focus on the “British Commonwealth” of nations after World War II. With decolonisation in Africa and South East Asia in the 1970s, the establishment of a small number of new scholarships for these constituencies in the 1980s traces both these political changes and ambivalence about them.</w:t>
      </w:r>
    </w:p>
    <w:p w14:paraId="38B3C334" w14:textId="13E3E463"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It is also possible to identify broader international politics at play in the variation of geographical allocation. The effects of the economic depression of the late 1920s and early 1930s are evident in the reduced award to American students in 1928 and 1930. Most notable is the suspension and reintroduction of the German scholarship during and after World War I and II, and policies of appeasement are discernible in the continuing allocations to Germany throughout the 1930s during Nazi rule. The almost total cessation of the scholarships during World War II is striking. Although not large in number, the extension of scholarships to Asia (especially India and Pakistan) and Africa after 1945 may also reflect the attempt to influence the elites of these countries in the context of the Cold Wa</w:t>
      </w:r>
      <w:r w:rsidR="008E34B4">
        <w:rPr>
          <w:rFonts w:ascii="Times New Roman" w:hAnsi="Times New Roman" w:cs="Times New Roman"/>
        </w:rPr>
        <w:t>r. More recently, the expansion</w:t>
      </w:r>
      <w:r w:rsidRPr="00E76690">
        <w:rPr>
          <w:rFonts w:ascii="Times New Roman" w:hAnsi="Times New Roman" w:cs="Times New Roman"/>
        </w:rPr>
        <w:t xml:space="preserve"> of the 1990s to mid 2000s tracks the global economic boom of the same period. At this time the Trust chose – albeit briefly – to create new allocations for Western Europe, reflecting perhaps the creation of the Europe</w:t>
      </w:r>
      <w:r w:rsidR="008E34B4">
        <w:rPr>
          <w:rFonts w:ascii="Times New Roman" w:hAnsi="Times New Roman" w:cs="Times New Roman"/>
        </w:rPr>
        <w:t>an Union in 1993 from the post w</w:t>
      </w:r>
      <w:r w:rsidRPr="00E76690">
        <w:rPr>
          <w:rFonts w:ascii="Times New Roman" w:hAnsi="Times New Roman" w:cs="Times New Roman"/>
        </w:rPr>
        <w:t>ar European Communities and Rhodes’ original intention with the German scholarships to foster “understanding” between the great powers. The subsequent retraction of the scholarships afte</w:t>
      </w:r>
      <w:r w:rsidR="008E34B4">
        <w:rPr>
          <w:rFonts w:ascii="Times New Roman" w:hAnsi="Times New Roman" w:cs="Times New Roman"/>
        </w:rPr>
        <w:t xml:space="preserve">r 2008 similarly reflects </w:t>
      </w:r>
      <w:r w:rsidR="008E34B4">
        <w:rPr>
          <w:rFonts w:ascii="Times New Roman" w:hAnsi="Times New Roman" w:cs="Times New Roman"/>
        </w:rPr>
        <w:lastRenderedPageBreak/>
        <w:t>the “global financial c</w:t>
      </w:r>
      <w:r w:rsidRPr="00E76690">
        <w:rPr>
          <w:rFonts w:ascii="Times New Roman" w:hAnsi="Times New Roman" w:cs="Times New Roman"/>
        </w:rPr>
        <w:t>risis” of the period and the Trust’s attendant financial difficulties</w:t>
      </w:r>
      <w:r w:rsidR="00DD64A9">
        <w:rPr>
          <w:rFonts w:ascii="Times New Roman" w:hAnsi="Times New Roman" w:cs="Times New Roman"/>
        </w:rPr>
        <w:t>.</w:t>
      </w:r>
      <w:r w:rsidRPr="00E76690">
        <w:rPr>
          <w:rStyle w:val="EndnoteReference"/>
          <w:rFonts w:ascii="Times New Roman" w:hAnsi="Times New Roman" w:cs="Times New Roman"/>
        </w:rPr>
        <w:endnoteReference w:id="21"/>
      </w:r>
      <w:r w:rsidRPr="00E76690">
        <w:rPr>
          <w:rFonts w:ascii="Times New Roman" w:hAnsi="Times New Roman" w:cs="Times New Roman"/>
        </w:rPr>
        <w:t xml:space="preserve"> A notable exception is the Hong Kong Scholarship, which was abolished in 1997 following its withdrawal from the Commonwealth, but reintroduced the same year with a benefaction from the Lee Hysan Foundation. The recent expansion to include China similarly reflects the changing geopolitics of the early twenty first century.</w:t>
      </w:r>
    </w:p>
    <w:p w14:paraId="63546DB8"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Two factors are evident in this overview: first, the long term path dependencies that have ensured consistency of award to the original election constituencies; and second, the Trust’s sensitivity to changing global contexts. Although guided by the terms laid out in Rhodes’ Will, the Trust has not been insulated from wider political and economic forces and has taken an active role in directing awards accordingly. </w:t>
      </w:r>
    </w:p>
    <w:p w14:paraId="61F70107" w14:textId="77777777" w:rsidR="00DD64A9" w:rsidRPr="00E76690" w:rsidRDefault="00DD64A9" w:rsidP="00317AC6">
      <w:pPr>
        <w:spacing w:line="480" w:lineRule="auto"/>
        <w:jc w:val="both"/>
        <w:rPr>
          <w:rFonts w:ascii="Times New Roman" w:hAnsi="Times New Roman" w:cs="Times New Roman"/>
        </w:rPr>
      </w:pPr>
    </w:p>
    <w:p w14:paraId="200AE071"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t>Gender selection: slowly moving toward parity</w:t>
      </w:r>
    </w:p>
    <w:p w14:paraId="5C5124C4" w14:textId="713A3F2E"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At its inception the Rhodes scheme was open only to men. Women were expressly prevented from applying by the terms and language of Rhodes’ Will. After sustained pressure from scholars and universities, particularly from North America, in the early 1970s the Rhodes Trustees petitioned the (British) Home Secretary to request that a provision be included in the antidiscrimination legislation then proceeding through the Houses of Parliament, to allow educational charities to amend their trusts to include women. With the successful passage of this bill, the Rhodes Trustees then asked the Secretary of State for Education and Science to pass an Act of Parliament (passed 1976) to amend the terms of the original bequest, making women eligible to</w:t>
      </w:r>
      <w:r w:rsidR="0048049E">
        <w:rPr>
          <w:rFonts w:ascii="Times New Roman" w:hAnsi="Times New Roman" w:cs="Times New Roman"/>
        </w:rPr>
        <w:t xml:space="preserve"> apply. The first women Rhodes s</w:t>
      </w:r>
      <w:r w:rsidRPr="00E76690">
        <w:rPr>
          <w:rFonts w:ascii="Times New Roman" w:hAnsi="Times New Roman" w:cs="Times New Roman"/>
        </w:rPr>
        <w:t>cholars arrived in Oxford in 1977</w:t>
      </w:r>
      <w:r w:rsidR="00DD64A9">
        <w:rPr>
          <w:rFonts w:ascii="Times New Roman" w:hAnsi="Times New Roman" w:cs="Times New Roman"/>
        </w:rPr>
        <w:t>.</w:t>
      </w:r>
      <w:r w:rsidRPr="00E76690">
        <w:rPr>
          <w:rStyle w:val="EndnoteReference"/>
          <w:rFonts w:ascii="Times New Roman" w:hAnsi="Times New Roman" w:cs="Times New Roman"/>
        </w:rPr>
        <w:endnoteReference w:id="22"/>
      </w:r>
      <w:r w:rsidRPr="00E76690">
        <w:rPr>
          <w:rFonts w:ascii="Times New Roman" w:hAnsi="Times New Roman" w:cs="Times New Roman"/>
        </w:rPr>
        <w:t xml:space="preserve"> Prior to this legislative change, from 1970 until the early 1980s Rhodes Visiting Fellowships allowed a small number of women to take up residence in Oxford’s women’s colleges.</w:t>
      </w:r>
    </w:p>
    <w:p w14:paraId="2FFC6B9D" w14:textId="75081375"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lastRenderedPageBreak/>
        <w:t>To track the relative selection of women since eligibility in 1977, we calculated the number of women scholars selected as a percentage of the total number of scholars for each year</w:t>
      </w:r>
      <w:r w:rsidR="00DD64A9">
        <w:rPr>
          <w:rFonts w:ascii="Times New Roman" w:hAnsi="Times New Roman" w:cs="Times New Roman"/>
        </w:rPr>
        <w:t>.</w:t>
      </w:r>
    </w:p>
    <w:p w14:paraId="01B93BE8" w14:textId="77777777" w:rsidR="00E76690" w:rsidRPr="00E76690" w:rsidRDefault="00E76690" w:rsidP="00317AC6">
      <w:pPr>
        <w:spacing w:line="480" w:lineRule="auto"/>
        <w:jc w:val="both"/>
        <w:rPr>
          <w:rFonts w:ascii="Times New Roman" w:hAnsi="Times New Roman" w:cs="Times New Roman"/>
        </w:rPr>
      </w:pPr>
    </w:p>
    <w:p w14:paraId="27FC278C" w14:textId="0D97108B" w:rsidR="00E76690" w:rsidRPr="00E76690" w:rsidRDefault="00E76690" w:rsidP="00317AC6">
      <w:pPr>
        <w:spacing w:line="480" w:lineRule="auto"/>
        <w:jc w:val="both"/>
        <w:rPr>
          <w:rFonts w:ascii="Times New Roman" w:hAnsi="Times New Roman" w:cs="Times New Roman"/>
        </w:rPr>
      </w:pPr>
      <w:r w:rsidRPr="00942C2E">
        <w:rPr>
          <w:rFonts w:ascii="Times New Roman" w:hAnsi="Times New Roman" w:cs="Times New Roman"/>
        </w:rPr>
        <w:t>[Figure 2]</w:t>
      </w:r>
    </w:p>
    <w:p w14:paraId="00FD23B8" w14:textId="77777777" w:rsidR="00125747" w:rsidRDefault="00125747" w:rsidP="00317AC6">
      <w:pPr>
        <w:spacing w:line="480" w:lineRule="auto"/>
        <w:ind w:firstLine="720"/>
        <w:jc w:val="both"/>
        <w:rPr>
          <w:rFonts w:ascii="Times New Roman" w:hAnsi="Times New Roman" w:cs="Times New Roman"/>
        </w:rPr>
      </w:pPr>
    </w:p>
    <w:p w14:paraId="0F85F73C" w14:textId="5078435F"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As Figure 2 shows, the percentage of women scholars selected has varied since 1977 in a consistently ‘ripple pattern’ (peak follow by dips, then peak again). Although there is a general trend toward parity, the numbers have only reached fifty percent and above at two points in this thirty-five year period: in 1999 and 2012. This data makes clear the extent to which men, more so than women since their eligibility in 1977, have dominated the total numbers of recipients of Rhodes Scholarships. While this may not be surprising, the “ripple </w:t>
      </w:r>
      <w:r w:rsidR="0048049E">
        <w:rPr>
          <w:rFonts w:ascii="Times New Roman" w:hAnsi="Times New Roman" w:cs="Times New Roman"/>
        </w:rPr>
        <w:t>pattern” of women Rhodes s</w:t>
      </w:r>
      <w:r w:rsidRPr="00E76690">
        <w:rPr>
          <w:rFonts w:ascii="Times New Roman" w:hAnsi="Times New Roman" w:cs="Times New Roman"/>
        </w:rPr>
        <w:t xml:space="preserve">cholars is curious to note and requires further analysis. </w:t>
      </w:r>
    </w:p>
    <w:p w14:paraId="216A7651" w14:textId="04CFF8DE"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Earlier we highlighted the emphasis Rhodes placed on informal association and character in the selection and cultivation of his scholars. As Tamson Pietsch has shown more broadly for academic appointments in the period to 1939, the centrality of gendered and raced academic cultures of sociability to selection created highly uneven opportunities for access</w:t>
      </w:r>
      <w:r w:rsidR="00DD64A9">
        <w:rPr>
          <w:rFonts w:ascii="Times New Roman" w:hAnsi="Times New Roman" w:cs="Times New Roman"/>
        </w:rPr>
        <w:t>.</w:t>
      </w:r>
      <w:r w:rsidRPr="00E76690">
        <w:rPr>
          <w:rStyle w:val="EndnoteReference"/>
          <w:rFonts w:ascii="Times New Roman" w:hAnsi="Times New Roman" w:cs="Times New Roman"/>
        </w:rPr>
        <w:endnoteReference w:id="23"/>
      </w:r>
      <w:r w:rsidRPr="00E76690">
        <w:rPr>
          <w:rFonts w:ascii="Times New Roman" w:hAnsi="Times New Roman" w:cs="Times New Roman"/>
        </w:rPr>
        <w:t xml:space="preserve"> Although racial and religious minority groups were in theory accepted as scholars from the very beginning, in practice opportunities for them were severely limited by the policies of the countries and institutions from which they came. We also note that analyzing the outcomes of higher education programs is inherently problematic, because attainment of scholarships at tertiary level is built on access to and performance at primary and secondary stage schooling that is itself heavily influenced by a range of socioeconomic factors.</w:t>
      </w:r>
    </w:p>
    <w:p w14:paraId="0C49B9C6" w14:textId="77777777" w:rsidR="00E76690" w:rsidRPr="00E76690" w:rsidRDefault="00E76690" w:rsidP="00317AC6">
      <w:pPr>
        <w:spacing w:line="480" w:lineRule="auto"/>
        <w:jc w:val="both"/>
        <w:rPr>
          <w:rFonts w:ascii="Times New Roman" w:hAnsi="Times New Roman" w:cs="Times New Roman"/>
        </w:rPr>
      </w:pPr>
    </w:p>
    <w:p w14:paraId="0368AB30"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lastRenderedPageBreak/>
        <w:t>Geographical mobility: return to countries of election</w:t>
      </w:r>
    </w:p>
    <w:p w14:paraId="617C0423" w14:textId="320F76AD"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Geographical mobility is at the heart of contemporary debate concerning knowledge exchange and generation. The assumption is that mobility enables scholars to make new contacts and acquire different knowledge that could lead to the acquisition of cultural and social capital and opportunities for new collaboration and possible innovation. Hence, states encourage the mobility of scientists, scholars, and students via funding support and through the reduction of administrative barriers to entry. The Rhodes scheme has traditionally brought selected participants to Oxford, envisioning that they would likely return to their countries of election and take up public positions of leadership. How far this has actually been the pattern for scholars has not, however, been systematically examined. To track the g</w:t>
      </w:r>
      <w:r w:rsidR="00BD7134">
        <w:rPr>
          <w:rFonts w:ascii="Times New Roman" w:hAnsi="Times New Roman" w:cs="Times New Roman"/>
        </w:rPr>
        <w:t>eographical mobility of Rhodes s</w:t>
      </w:r>
      <w:r w:rsidRPr="00E76690">
        <w:rPr>
          <w:rFonts w:ascii="Times New Roman" w:hAnsi="Times New Roman" w:cs="Times New Roman"/>
        </w:rPr>
        <w:t>cholars across the twentieth century, we therefore developed three indicators: a) those who made their careers at home; b) those who made their careers both at home and abroad; and c) those who principally made their careers outside their country of election.</w:t>
      </w:r>
    </w:p>
    <w:p w14:paraId="6DB7994A" w14:textId="77777777" w:rsidR="00E76690" w:rsidRPr="00E76690" w:rsidRDefault="00E76690" w:rsidP="00317AC6">
      <w:pPr>
        <w:spacing w:line="480" w:lineRule="auto"/>
        <w:jc w:val="both"/>
        <w:rPr>
          <w:rFonts w:ascii="Times New Roman" w:hAnsi="Times New Roman" w:cs="Times New Roman"/>
        </w:rPr>
      </w:pPr>
    </w:p>
    <w:p w14:paraId="37809F46" w14:textId="77777777" w:rsidR="00E76690" w:rsidRPr="00E76690" w:rsidRDefault="00E76690" w:rsidP="00317AC6">
      <w:pPr>
        <w:spacing w:line="480" w:lineRule="auto"/>
        <w:jc w:val="both"/>
        <w:rPr>
          <w:rFonts w:ascii="Times New Roman" w:hAnsi="Times New Roman" w:cs="Times New Roman"/>
        </w:rPr>
      </w:pPr>
      <w:r w:rsidRPr="00942C2E">
        <w:rPr>
          <w:rFonts w:ascii="Times New Roman" w:hAnsi="Times New Roman" w:cs="Times New Roman"/>
        </w:rPr>
        <w:t>[Figure 3]</w:t>
      </w:r>
    </w:p>
    <w:p w14:paraId="5C6B0FC7" w14:textId="77777777" w:rsidR="00E76690" w:rsidRPr="00E76690" w:rsidRDefault="00E76690" w:rsidP="00317AC6">
      <w:pPr>
        <w:spacing w:line="480" w:lineRule="auto"/>
        <w:jc w:val="both"/>
        <w:rPr>
          <w:rFonts w:ascii="Times New Roman" w:hAnsi="Times New Roman" w:cs="Times New Roman"/>
        </w:rPr>
      </w:pPr>
    </w:p>
    <w:p w14:paraId="12492CD9" w14:textId="77777777"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As Figure 3 shows, the majority of scholars elected in the years analyzed established their careers in their countries of election, with limited mobility to some mobility (more than seventy-five percent of all cohorts for all coded years). Scholars with extensive mobility, who established their careers outside of their countries of election, have generally remained in the minority (around twenty to twenty-five percent of their cohorts). However, since 1913 it is evident that the percentage of scholars in this category has been steadily increasing. We believe that it is likely that more recent cohorts, especially those from the late 1990s onwards, may have still greater geographical mobility patterns than earlier cohorts.</w:t>
      </w:r>
      <w:r w:rsidRPr="00E76690">
        <w:rPr>
          <w:rStyle w:val="EndnoteReference"/>
          <w:rFonts w:ascii="Times New Roman" w:hAnsi="Times New Roman" w:cs="Times New Roman"/>
        </w:rPr>
        <w:endnoteReference w:id="24"/>
      </w:r>
      <w:r w:rsidRPr="00E76690">
        <w:rPr>
          <w:rFonts w:ascii="Times New Roman" w:hAnsi="Times New Roman" w:cs="Times New Roman"/>
        </w:rPr>
        <w:t xml:space="preserve"> </w:t>
      </w:r>
    </w:p>
    <w:p w14:paraId="1C4A355C" w14:textId="16523063"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lastRenderedPageBreak/>
        <w:t>One of the difficulties of this data is that it collapses the particular local and cultural contexts that shape patterns of behavior in different countries. To provide more fine grained differentiation between the election constituencies, we have therefore disaggregated the geographic</w:t>
      </w:r>
      <w:r w:rsidR="00BD7134">
        <w:rPr>
          <w:rFonts w:ascii="Times New Roman" w:hAnsi="Times New Roman" w:cs="Times New Roman"/>
        </w:rPr>
        <w:t>al mobility patterns of Rhodes s</w:t>
      </w:r>
      <w:r w:rsidRPr="00E76690">
        <w:rPr>
          <w:rFonts w:ascii="Times New Roman" w:hAnsi="Times New Roman" w:cs="Times New Roman"/>
        </w:rPr>
        <w:t>cholars who have been elected from the U</w:t>
      </w:r>
      <w:r w:rsidR="002E1F23">
        <w:rPr>
          <w:rFonts w:ascii="Times New Roman" w:hAnsi="Times New Roman" w:cs="Times New Roman"/>
        </w:rPr>
        <w:t>.</w:t>
      </w:r>
      <w:r w:rsidRPr="00E76690">
        <w:rPr>
          <w:rFonts w:ascii="Times New Roman" w:hAnsi="Times New Roman" w:cs="Times New Roman"/>
        </w:rPr>
        <w:t>S</w:t>
      </w:r>
      <w:r w:rsidR="002E1F23">
        <w:rPr>
          <w:rFonts w:ascii="Times New Roman" w:hAnsi="Times New Roman" w:cs="Times New Roman"/>
        </w:rPr>
        <w:t>.</w:t>
      </w:r>
      <w:r w:rsidRPr="00E76690">
        <w:rPr>
          <w:rFonts w:ascii="Times New Roman" w:hAnsi="Times New Roman" w:cs="Times New Roman"/>
        </w:rPr>
        <w:t xml:space="preserve"> (a dominant cohort for most years) in comparison to those who were from other election regions.</w:t>
      </w:r>
    </w:p>
    <w:p w14:paraId="65EDCA8F" w14:textId="77777777" w:rsidR="00E76690" w:rsidRPr="00E76690" w:rsidRDefault="00E76690" w:rsidP="00317AC6">
      <w:pPr>
        <w:spacing w:line="480" w:lineRule="auto"/>
        <w:jc w:val="both"/>
        <w:rPr>
          <w:rFonts w:ascii="Times New Roman" w:hAnsi="Times New Roman" w:cs="Times New Roman"/>
        </w:rPr>
      </w:pPr>
    </w:p>
    <w:p w14:paraId="6E80BC5E" w14:textId="77777777" w:rsidR="00E76690" w:rsidRPr="00E76690" w:rsidRDefault="00E76690" w:rsidP="00317AC6">
      <w:pPr>
        <w:spacing w:line="480" w:lineRule="auto"/>
        <w:jc w:val="both"/>
        <w:rPr>
          <w:rFonts w:ascii="Times New Roman" w:hAnsi="Times New Roman" w:cs="Times New Roman"/>
        </w:rPr>
      </w:pPr>
      <w:r w:rsidRPr="00942C2E">
        <w:rPr>
          <w:rFonts w:ascii="Times New Roman" w:hAnsi="Times New Roman" w:cs="Times New Roman"/>
        </w:rPr>
        <w:t>[Figure 4]</w:t>
      </w:r>
    </w:p>
    <w:p w14:paraId="5BC75BFB" w14:textId="77777777" w:rsidR="00E76690" w:rsidRPr="00E76690" w:rsidRDefault="00E76690" w:rsidP="00317AC6">
      <w:pPr>
        <w:spacing w:line="480" w:lineRule="auto"/>
        <w:jc w:val="both"/>
        <w:rPr>
          <w:rFonts w:ascii="Times New Roman" w:hAnsi="Times New Roman" w:cs="Times New Roman"/>
        </w:rPr>
      </w:pPr>
    </w:p>
    <w:p w14:paraId="0A209383" w14:textId="313AC738" w:rsidR="00E76690" w:rsidRPr="00E76690" w:rsidRDefault="00BD7134" w:rsidP="00317AC6">
      <w:pPr>
        <w:spacing w:line="480" w:lineRule="auto"/>
        <w:jc w:val="both"/>
        <w:rPr>
          <w:rFonts w:ascii="Times New Roman" w:hAnsi="Times New Roman" w:cs="Times New Roman"/>
        </w:rPr>
      </w:pPr>
      <w:r>
        <w:rPr>
          <w:rFonts w:ascii="Times New Roman" w:hAnsi="Times New Roman" w:cs="Times New Roman"/>
        </w:rPr>
        <w:tab/>
      </w:r>
      <w:r w:rsidR="00E76690" w:rsidRPr="00E76690">
        <w:rPr>
          <w:rFonts w:ascii="Times New Roman" w:hAnsi="Times New Roman" w:cs="Times New Roman"/>
        </w:rPr>
        <w:t>Figure 4 reveals several st</w:t>
      </w:r>
      <w:r>
        <w:rPr>
          <w:rFonts w:ascii="Times New Roman" w:hAnsi="Times New Roman" w:cs="Times New Roman"/>
        </w:rPr>
        <w:t>riking patterns. First, Rhodes s</w:t>
      </w:r>
      <w:r w:rsidR="00E76690" w:rsidRPr="00E76690">
        <w:rPr>
          <w:rFonts w:ascii="Times New Roman" w:hAnsi="Times New Roman" w:cs="Times New Roman"/>
        </w:rPr>
        <w:t>cholars from the U</w:t>
      </w:r>
      <w:r w:rsidR="002E1F23">
        <w:rPr>
          <w:rFonts w:ascii="Times New Roman" w:hAnsi="Times New Roman" w:cs="Times New Roman"/>
        </w:rPr>
        <w:t>.</w:t>
      </w:r>
      <w:r w:rsidR="00E76690" w:rsidRPr="00E76690">
        <w:rPr>
          <w:rFonts w:ascii="Times New Roman" w:hAnsi="Times New Roman" w:cs="Times New Roman"/>
        </w:rPr>
        <w:t>S</w:t>
      </w:r>
      <w:r w:rsidR="002E1F23">
        <w:rPr>
          <w:rFonts w:ascii="Times New Roman" w:hAnsi="Times New Roman" w:cs="Times New Roman"/>
        </w:rPr>
        <w:t>.</w:t>
      </w:r>
      <w:r w:rsidR="00E76690" w:rsidRPr="00E76690">
        <w:rPr>
          <w:rFonts w:ascii="Times New Roman" w:hAnsi="Times New Roman" w:cs="Times New Roman"/>
        </w:rPr>
        <w:t xml:space="preserve"> have been more likely (about twice as likely) to spend part of their careers at home than their counterparts from other election regions. Second, while v</w:t>
      </w:r>
      <w:r>
        <w:rPr>
          <w:rFonts w:ascii="Times New Roman" w:hAnsi="Times New Roman" w:cs="Times New Roman"/>
        </w:rPr>
        <w:t>ery few U</w:t>
      </w:r>
      <w:r w:rsidR="002E1F23">
        <w:rPr>
          <w:rFonts w:ascii="Times New Roman" w:hAnsi="Times New Roman" w:cs="Times New Roman"/>
        </w:rPr>
        <w:t>.</w:t>
      </w:r>
      <w:r>
        <w:rPr>
          <w:rFonts w:ascii="Times New Roman" w:hAnsi="Times New Roman" w:cs="Times New Roman"/>
        </w:rPr>
        <w:t>S</w:t>
      </w:r>
      <w:r w:rsidR="002E1F23">
        <w:rPr>
          <w:rFonts w:ascii="Times New Roman" w:hAnsi="Times New Roman" w:cs="Times New Roman"/>
        </w:rPr>
        <w:t>.</w:t>
      </w:r>
      <w:r>
        <w:rPr>
          <w:rFonts w:ascii="Times New Roman" w:hAnsi="Times New Roman" w:cs="Times New Roman"/>
        </w:rPr>
        <w:t xml:space="preserve"> s</w:t>
      </w:r>
      <w:r w:rsidR="00E76690" w:rsidRPr="00E76690">
        <w:rPr>
          <w:rFonts w:ascii="Times New Roman" w:hAnsi="Times New Roman" w:cs="Times New Roman"/>
        </w:rPr>
        <w:t>cholars established their professional ca</w:t>
      </w:r>
      <w:r>
        <w:rPr>
          <w:rFonts w:ascii="Times New Roman" w:hAnsi="Times New Roman" w:cs="Times New Roman"/>
        </w:rPr>
        <w:t>reers abroad, many more non U</w:t>
      </w:r>
      <w:r w:rsidR="002E1F23">
        <w:rPr>
          <w:rFonts w:ascii="Times New Roman" w:hAnsi="Times New Roman" w:cs="Times New Roman"/>
        </w:rPr>
        <w:t>.</w:t>
      </w:r>
      <w:r>
        <w:rPr>
          <w:rFonts w:ascii="Times New Roman" w:hAnsi="Times New Roman" w:cs="Times New Roman"/>
        </w:rPr>
        <w:t>S</w:t>
      </w:r>
      <w:r w:rsidR="002E1F23">
        <w:rPr>
          <w:rFonts w:ascii="Times New Roman" w:hAnsi="Times New Roman" w:cs="Times New Roman"/>
        </w:rPr>
        <w:t>.</w:t>
      </w:r>
      <w:r>
        <w:rPr>
          <w:rFonts w:ascii="Times New Roman" w:hAnsi="Times New Roman" w:cs="Times New Roman"/>
        </w:rPr>
        <w:t xml:space="preserve"> s</w:t>
      </w:r>
      <w:r w:rsidR="00E76690" w:rsidRPr="00E76690">
        <w:rPr>
          <w:rFonts w:ascii="Times New Roman" w:hAnsi="Times New Roman" w:cs="Times New Roman"/>
        </w:rPr>
        <w:t>cholars pursued this option (between twenty-two percent in 1913 to sixty-two percent in 1983). Third, the relatively high mobility (compar</w:t>
      </w:r>
      <w:r>
        <w:rPr>
          <w:rFonts w:ascii="Times New Roman" w:hAnsi="Times New Roman" w:cs="Times New Roman"/>
        </w:rPr>
        <w:t>ed to other decades) of non US s</w:t>
      </w:r>
      <w:r w:rsidR="00E76690" w:rsidRPr="00E76690">
        <w:rPr>
          <w:rFonts w:ascii="Times New Roman" w:hAnsi="Times New Roman" w:cs="Times New Roman"/>
        </w:rPr>
        <w:t>cholars elected in 1923 points to the danger of telling a linear story of increasing mobility across the century. The opportunities and constraints of the interwar and World War II years, the period in which this cohort developed their careers, meant that m</w:t>
      </w:r>
      <w:r>
        <w:rPr>
          <w:rFonts w:ascii="Times New Roman" w:hAnsi="Times New Roman" w:cs="Times New Roman"/>
        </w:rPr>
        <w:t>ore non U</w:t>
      </w:r>
      <w:r w:rsidR="002E1F23">
        <w:rPr>
          <w:rFonts w:ascii="Times New Roman" w:hAnsi="Times New Roman" w:cs="Times New Roman"/>
        </w:rPr>
        <w:t>.</w:t>
      </w:r>
      <w:r>
        <w:rPr>
          <w:rFonts w:ascii="Times New Roman" w:hAnsi="Times New Roman" w:cs="Times New Roman"/>
        </w:rPr>
        <w:t>S</w:t>
      </w:r>
      <w:r w:rsidR="002E1F23">
        <w:rPr>
          <w:rFonts w:ascii="Times New Roman" w:hAnsi="Times New Roman" w:cs="Times New Roman"/>
        </w:rPr>
        <w:t>.</w:t>
      </w:r>
      <w:r>
        <w:rPr>
          <w:rFonts w:ascii="Times New Roman" w:hAnsi="Times New Roman" w:cs="Times New Roman"/>
        </w:rPr>
        <w:t xml:space="preserve"> s</w:t>
      </w:r>
      <w:r w:rsidR="00E76690" w:rsidRPr="00E76690">
        <w:rPr>
          <w:rFonts w:ascii="Times New Roman" w:hAnsi="Times New Roman" w:cs="Times New Roman"/>
        </w:rPr>
        <w:t>cholars built their lives abroad than did so in later decades. This data clearly shows that awardees from different constituencies have used the Rhodes experience differently in the establishment and consolidation of their professional careers:</w:t>
      </w:r>
      <w:r>
        <w:rPr>
          <w:rFonts w:ascii="Times New Roman" w:hAnsi="Times New Roman" w:cs="Times New Roman"/>
        </w:rPr>
        <w:t xml:space="preserve"> while U</w:t>
      </w:r>
      <w:r w:rsidR="002E1F23">
        <w:rPr>
          <w:rFonts w:ascii="Times New Roman" w:hAnsi="Times New Roman" w:cs="Times New Roman"/>
        </w:rPr>
        <w:t>.</w:t>
      </w:r>
      <w:r>
        <w:rPr>
          <w:rFonts w:ascii="Times New Roman" w:hAnsi="Times New Roman" w:cs="Times New Roman"/>
        </w:rPr>
        <w:t>S</w:t>
      </w:r>
      <w:r w:rsidR="002E1F23">
        <w:rPr>
          <w:rFonts w:ascii="Times New Roman" w:hAnsi="Times New Roman" w:cs="Times New Roman"/>
        </w:rPr>
        <w:t>.</w:t>
      </w:r>
      <w:r>
        <w:rPr>
          <w:rFonts w:ascii="Times New Roman" w:hAnsi="Times New Roman" w:cs="Times New Roman"/>
        </w:rPr>
        <w:t xml:space="preserve"> s</w:t>
      </w:r>
      <w:r w:rsidR="00E76690" w:rsidRPr="00E76690">
        <w:rPr>
          <w:rFonts w:ascii="Times New Roman" w:hAnsi="Times New Roman" w:cs="Times New Roman"/>
        </w:rPr>
        <w:t>cholars have utilized it as a platform to pursue a variety of caree</w:t>
      </w:r>
      <w:r>
        <w:rPr>
          <w:rFonts w:ascii="Times New Roman" w:hAnsi="Times New Roman" w:cs="Times New Roman"/>
        </w:rPr>
        <w:t>rs principally at home, non U</w:t>
      </w:r>
      <w:r w:rsidR="002E1F23">
        <w:rPr>
          <w:rFonts w:ascii="Times New Roman" w:hAnsi="Times New Roman" w:cs="Times New Roman"/>
        </w:rPr>
        <w:t>.</w:t>
      </w:r>
      <w:r>
        <w:rPr>
          <w:rFonts w:ascii="Times New Roman" w:hAnsi="Times New Roman" w:cs="Times New Roman"/>
        </w:rPr>
        <w:t>S</w:t>
      </w:r>
      <w:r w:rsidR="002E1F23">
        <w:rPr>
          <w:rFonts w:ascii="Times New Roman" w:hAnsi="Times New Roman" w:cs="Times New Roman"/>
        </w:rPr>
        <w:t>.</w:t>
      </w:r>
      <w:r>
        <w:rPr>
          <w:rFonts w:ascii="Times New Roman" w:hAnsi="Times New Roman" w:cs="Times New Roman"/>
        </w:rPr>
        <w:t xml:space="preserve"> s</w:t>
      </w:r>
      <w:r w:rsidR="00E76690" w:rsidRPr="00E76690">
        <w:rPr>
          <w:rFonts w:ascii="Times New Roman" w:hAnsi="Times New Roman" w:cs="Times New Roman"/>
        </w:rPr>
        <w:t>cholars have employed the Rhodes program as a springboard to careers outside of their countries of election.</w:t>
      </w:r>
    </w:p>
    <w:p w14:paraId="1EC7CE93" w14:textId="0A4FEC50" w:rsidR="00125747" w:rsidRDefault="00125747">
      <w:pPr>
        <w:rPr>
          <w:rFonts w:ascii="Times New Roman" w:hAnsi="Times New Roman" w:cs="Times New Roman"/>
        </w:rPr>
      </w:pPr>
      <w:r>
        <w:rPr>
          <w:rFonts w:ascii="Times New Roman" w:hAnsi="Times New Roman" w:cs="Times New Roman"/>
        </w:rPr>
        <w:br w:type="page"/>
      </w:r>
    </w:p>
    <w:p w14:paraId="724CA9E7" w14:textId="77777777" w:rsidR="00E76690" w:rsidRPr="00E76690" w:rsidRDefault="00E76690" w:rsidP="00BD7134">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rPr>
      </w:pPr>
      <w:r w:rsidRPr="00E76690">
        <w:rPr>
          <w:rFonts w:ascii="Times New Roman" w:hAnsi="Times New Roman" w:cs="Times New Roman"/>
          <w:b/>
        </w:rPr>
        <w:lastRenderedPageBreak/>
        <w:t>Derek John de Sa</w:t>
      </w:r>
    </w:p>
    <w:p w14:paraId="2882D46A" w14:textId="77777777" w:rsidR="00BD7134" w:rsidRDefault="00BD7134" w:rsidP="00317AC6">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rPr>
      </w:pPr>
    </w:p>
    <w:p w14:paraId="021EEE38" w14:textId="650D0803" w:rsidR="00E76690" w:rsidRPr="00E76690" w:rsidRDefault="00E76690" w:rsidP="00317AC6">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rPr>
      </w:pPr>
      <w:r w:rsidRPr="00E76690">
        <w:rPr>
          <w:rFonts w:ascii="Times New Roman" w:hAnsi="Times New Roman" w:cs="Times New Roman"/>
        </w:rPr>
        <w:t xml:space="preserve">Derek John de </w:t>
      </w:r>
      <w:proofErr w:type="gramStart"/>
      <w:r w:rsidRPr="00E76690">
        <w:rPr>
          <w:rFonts w:ascii="Times New Roman" w:hAnsi="Times New Roman" w:cs="Times New Roman"/>
        </w:rPr>
        <w:t>Sa</w:t>
      </w:r>
      <w:proofErr w:type="gramEnd"/>
      <w:r w:rsidRPr="00E76690">
        <w:rPr>
          <w:rFonts w:ascii="Times New Roman" w:hAnsi="Times New Roman" w:cs="Times New Roman"/>
        </w:rPr>
        <w:t xml:space="preserve">, was one of two students awarded the Rhodes scholarship for India in 1963. He was born in Lahore in 1939 and educated at Sherwood College and the Christian Medical College in Ludhiana, graduating MB BS in 1962. At Oxford he was a member of Jesus College and undertook a DPhil in Pathology. Graduating in 1967, he stayed on in Oxford to work in </w:t>
      </w:r>
      <w:r w:rsidR="001B48C2">
        <w:rPr>
          <w:rFonts w:ascii="Times New Roman" w:hAnsi="Times New Roman" w:cs="Times New Roman"/>
        </w:rPr>
        <w:t>the Radcliffe Infirmary and as L</w:t>
      </w:r>
      <w:r w:rsidRPr="00E76690">
        <w:rPr>
          <w:rFonts w:ascii="Times New Roman" w:hAnsi="Times New Roman" w:cs="Times New Roman"/>
        </w:rPr>
        <w:t xml:space="preserve">ecturer and Assistant and Honorary Consultant. In 1973 he accepted a post as Associate Professor of Pathology at McMaster University in Ontario, </w:t>
      </w:r>
      <w:r w:rsidR="001B48C2">
        <w:rPr>
          <w:rFonts w:ascii="Times New Roman" w:hAnsi="Times New Roman" w:cs="Times New Roman"/>
        </w:rPr>
        <w:t>Canada where he also served as s</w:t>
      </w:r>
      <w:r w:rsidRPr="00E76690">
        <w:rPr>
          <w:rFonts w:ascii="Times New Roman" w:hAnsi="Times New Roman" w:cs="Times New Roman"/>
        </w:rPr>
        <w:t xml:space="preserve">taff pathologist at St Joseph’s Hospital and Chedoke Hospital. In 1982 he was appointed Professor of Pathology and Head of Paediatric Pathology at the University of Manitoba and Pathologist-in-Chief at the Children’s Hospital Winnipeg. He returned to McMaster University as Professor of Pathology in 1986 and in 1996 was made Professor of Pathology at the University of British Columbia. Derek de </w:t>
      </w:r>
      <w:proofErr w:type="gramStart"/>
      <w:r w:rsidRPr="00E76690">
        <w:rPr>
          <w:rFonts w:ascii="Times New Roman" w:hAnsi="Times New Roman" w:cs="Times New Roman"/>
        </w:rPr>
        <w:t>Sa</w:t>
      </w:r>
      <w:proofErr w:type="gramEnd"/>
      <w:r w:rsidRPr="00E76690">
        <w:rPr>
          <w:rFonts w:ascii="Times New Roman" w:hAnsi="Times New Roman" w:cs="Times New Roman"/>
        </w:rPr>
        <w:t xml:space="preserve"> was a Fellow of the Royal College of Pathologists, served on the Counci</w:t>
      </w:r>
      <w:r w:rsidR="001B48C2">
        <w:rPr>
          <w:rFonts w:ascii="Times New Roman" w:hAnsi="Times New Roman" w:cs="Times New Roman"/>
        </w:rPr>
        <w:t>l of the Society of Paediatric P</w:t>
      </w:r>
      <w:r w:rsidRPr="00E76690">
        <w:rPr>
          <w:rFonts w:ascii="Times New Roman" w:hAnsi="Times New Roman" w:cs="Times New Roman"/>
        </w:rPr>
        <w:t>athology and was chairman of its publication committee. He consulted to the US Center of Disease Control, the National Institutes of Health and the Ontario Health Ministry. In 2013 he returned to Oxford to attend the 110</w:t>
      </w:r>
      <w:r w:rsidRPr="00E76690">
        <w:rPr>
          <w:rFonts w:ascii="Times New Roman" w:hAnsi="Times New Roman" w:cs="Times New Roman"/>
          <w:vertAlign w:val="superscript"/>
        </w:rPr>
        <w:t>th</w:t>
      </w:r>
      <w:r w:rsidRPr="00E76690">
        <w:rPr>
          <w:rFonts w:ascii="Times New Roman" w:hAnsi="Times New Roman" w:cs="Times New Roman"/>
        </w:rPr>
        <w:t xml:space="preserve"> Anniversary of the Rhodes Scholarships.</w:t>
      </w:r>
    </w:p>
    <w:p w14:paraId="77A59203" w14:textId="77777777" w:rsidR="00E76690" w:rsidRPr="00E76690" w:rsidRDefault="00E76690" w:rsidP="00317AC6">
      <w:pPr>
        <w:spacing w:line="480" w:lineRule="auto"/>
        <w:jc w:val="both"/>
        <w:rPr>
          <w:rFonts w:ascii="Times New Roman" w:hAnsi="Times New Roman" w:cs="Times New Roman"/>
        </w:rPr>
      </w:pPr>
    </w:p>
    <w:p w14:paraId="25DF7BB9" w14:textId="280904EA"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We caution, however, against making assumptions between these patterns </w:t>
      </w:r>
      <w:r w:rsidR="001B48C2">
        <w:rPr>
          <w:rFonts w:ascii="Times New Roman" w:hAnsi="Times New Roman" w:cs="Times New Roman"/>
        </w:rPr>
        <w:t>and the notion of ‘brain drain.’</w:t>
      </w:r>
      <w:r w:rsidRPr="00E76690">
        <w:rPr>
          <w:rFonts w:ascii="Times New Roman" w:hAnsi="Times New Roman" w:cs="Times New Roman"/>
        </w:rPr>
        <w:t xml:space="preserve"> As several recent studies in other contexts have sh</w:t>
      </w:r>
      <w:r w:rsidR="001B48C2">
        <w:rPr>
          <w:rFonts w:ascii="Times New Roman" w:hAnsi="Times New Roman" w:cs="Times New Roman"/>
        </w:rPr>
        <w:t>own, the notion of brain drain</w:t>
      </w:r>
      <w:r w:rsidRPr="00E76690">
        <w:rPr>
          <w:rFonts w:ascii="Times New Roman" w:hAnsi="Times New Roman" w:cs="Times New Roman"/>
        </w:rPr>
        <w:t xml:space="preserve"> is likely to oversimplify th</w:t>
      </w:r>
      <w:r w:rsidR="001B48C2">
        <w:rPr>
          <w:rFonts w:ascii="Times New Roman" w:hAnsi="Times New Roman" w:cs="Times New Roman"/>
        </w:rPr>
        <w:t>e relationship Rhodes s</w:t>
      </w:r>
      <w:r w:rsidRPr="00E76690">
        <w:rPr>
          <w:rFonts w:ascii="Times New Roman" w:hAnsi="Times New Roman" w:cs="Times New Roman"/>
        </w:rPr>
        <w:t>cholars have had with their countries of election</w:t>
      </w:r>
      <w:r w:rsidR="00A71BD9">
        <w:rPr>
          <w:rFonts w:ascii="Times New Roman" w:hAnsi="Times New Roman" w:cs="Times New Roman"/>
        </w:rPr>
        <w:t>.</w:t>
      </w:r>
      <w:r w:rsidRPr="00E76690">
        <w:rPr>
          <w:rStyle w:val="EndnoteReference"/>
          <w:rFonts w:ascii="Times New Roman" w:hAnsi="Times New Roman" w:cs="Times New Roman"/>
        </w:rPr>
        <w:endnoteReference w:id="25"/>
      </w:r>
      <w:r w:rsidRPr="00E76690">
        <w:rPr>
          <w:rFonts w:ascii="Times New Roman" w:hAnsi="Times New Roman" w:cs="Times New Roman"/>
        </w:rPr>
        <w:t xml:space="preserve"> Work by Tamso</w:t>
      </w:r>
      <w:r w:rsidR="001B48C2">
        <w:rPr>
          <w:rFonts w:ascii="Times New Roman" w:hAnsi="Times New Roman" w:cs="Times New Roman"/>
        </w:rPr>
        <w:t>n Pietsch suggests that Rhodes s</w:t>
      </w:r>
      <w:r w:rsidRPr="00E76690">
        <w:rPr>
          <w:rFonts w:ascii="Times New Roman" w:hAnsi="Times New Roman" w:cs="Times New Roman"/>
        </w:rPr>
        <w:t>cholars who were academics maintained strong ties with their home countries, supervising the next generation of leaders and scholars from their countries of origin by hosting their stay abroad</w:t>
      </w:r>
      <w:r w:rsidR="00A71BD9">
        <w:rPr>
          <w:rFonts w:ascii="Times New Roman" w:hAnsi="Times New Roman" w:cs="Times New Roman"/>
        </w:rPr>
        <w:t>.</w:t>
      </w:r>
      <w:r w:rsidRPr="00E76690">
        <w:rPr>
          <w:rStyle w:val="EndnoteReference"/>
          <w:rFonts w:ascii="Times New Roman" w:hAnsi="Times New Roman" w:cs="Times New Roman"/>
        </w:rPr>
        <w:endnoteReference w:id="26"/>
      </w:r>
      <w:r w:rsidRPr="00E76690">
        <w:rPr>
          <w:rFonts w:ascii="Times New Roman" w:hAnsi="Times New Roman" w:cs="Times New Roman"/>
        </w:rPr>
        <w:t xml:space="preserve"> The </w:t>
      </w:r>
      <w:r w:rsidRPr="00E76690">
        <w:rPr>
          <w:rFonts w:ascii="Times New Roman" w:hAnsi="Times New Roman" w:cs="Times New Roman"/>
        </w:rPr>
        <w:lastRenderedPageBreak/>
        <w:t>importance of such intergenerational networks might also be considered in other professional contexts, notably medicine or management consulting. In these instances, rather than acting as the s</w:t>
      </w:r>
      <w:r w:rsidR="001B48C2">
        <w:rPr>
          <w:rFonts w:ascii="Times New Roman" w:hAnsi="Times New Roman" w:cs="Times New Roman"/>
        </w:rPr>
        <w:t>ource of brain drain,</w:t>
      </w:r>
      <w:r w:rsidRPr="00E76690">
        <w:rPr>
          <w:rFonts w:ascii="Times New Roman" w:hAnsi="Times New Roman" w:cs="Times New Roman"/>
        </w:rPr>
        <w:t xml:space="preserve"> Rhodes Scholars who have made their careers outside their countries of origin have nonetheless still contributed to knowledge mobility and circulation – factors that are usually considered to sit at the heart of national innovation.</w:t>
      </w:r>
    </w:p>
    <w:p w14:paraId="099A31B7" w14:textId="77777777" w:rsidR="00E76690" w:rsidRPr="00E76690" w:rsidRDefault="00E76690" w:rsidP="00317AC6">
      <w:pPr>
        <w:spacing w:line="480" w:lineRule="auto"/>
        <w:jc w:val="both"/>
        <w:rPr>
          <w:rFonts w:ascii="Times New Roman" w:hAnsi="Times New Roman" w:cs="Times New Roman"/>
        </w:rPr>
      </w:pPr>
    </w:p>
    <w:p w14:paraId="7B71F439" w14:textId="77777777"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b/>
        </w:rPr>
        <w:t>Conclusion</w:t>
      </w:r>
    </w:p>
    <w:p w14:paraId="5DB31821" w14:textId="76BEA7D8" w:rsidR="00E76690" w:rsidRPr="00E76690" w:rsidRDefault="00E76690" w:rsidP="00317AC6">
      <w:pPr>
        <w:spacing w:line="480" w:lineRule="auto"/>
        <w:jc w:val="both"/>
        <w:rPr>
          <w:rFonts w:ascii="Times New Roman" w:hAnsi="Times New Roman" w:cs="Times New Roman"/>
        </w:rPr>
      </w:pPr>
      <w:r w:rsidRPr="00E76690">
        <w:rPr>
          <w:rFonts w:ascii="Times New Roman" w:hAnsi="Times New Roman" w:cs="Times New Roman"/>
        </w:rPr>
        <w:t>Taking the long view on the Rhodes Scholarships highlights both the gravitational weight exerted by the terms and context of their foundation, and their protean and plural nature. The centrality of the original constituencies, the continuity of the Trust’s broad conception of leadership, its continuing belief in informal relations between scholars and the slowness of progress on questions of gender equity, substantiates one of the central claims of historical institutionalism which proposes that institutions, once created, are “sticky” and may be resistant to change</w:t>
      </w:r>
      <w:r w:rsidR="0079273F">
        <w:rPr>
          <w:rFonts w:ascii="Times New Roman" w:hAnsi="Times New Roman" w:cs="Times New Roman"/>
        </w:rPr>
        <w:t>.</w:t>
      </w:r>
      <w:r w:rsidRPr="00E76690">
        <w:rPr>
          <w:rStyle w:val="EndnoteReference"/>
          <w:rFonts w:ascii="Times New Roman" w:hAnsi="Times New Roman" w:cs="Times New Roman"/>
        </w:rPr>
        <w:endnoteReference w:id="27"/>
      </w:r>
      <w:r w:rsidRPr="00E76690">
        <w:rPr>
          <w:rFonts w:ascii="Times New Roman" w:hAnsi="Times New Roman" w:cs="Times New Roman"/>
        </w:rPr>
        <w:t xml:space="preserve"> </w:t>
      </w:r>
    </w:p>
    <w:p w14:paraId="3AB199B5" w14:textId="32A6BD33" w:rsidR="00E76690" w:rsidRPr="00E76690" w:rsidRDefault="00E76690" w:rsidP="00317AC6">
      <w:pPr>
        <w:spacing w:line="480" w:lineRule="auto"/>
        <w:ind w:firstLine="720"/>
        <w:jc w:val="both"/>
        <w:rPr>
          <w:rFonts w:ascii="Times New Roman" w:hAnsi="Times New Roman" w:cs="Times New Roman"/>
        </w:rPr>
      </w:pPr>
      <w:r w:rsidRPr="00E76690">
        <w:rPr>
          <w:rFonts w:ascii="Times New Roman" w:hAnsi="Times New Roman" w:cs="Times New Roman"/>
        </w:rPr>
        <w:t xml:space="preserve">But a long </w:t>
      </w:r>
      <w:r w:rsidR="001B48C2">
        <w:rPr>
          <w:rFonts w:ascii="Times New Roman" w:hAnsi="Times New Roman" w:cs="Times New Roman"/>
        </w:rPr>
        <w:t>view on the Rhodes Scholarships</w:t>
      </w:r>
      <w:r w:rsidRPr="00E76690">
        <w:rPr>
          <w:rFonts w:ascii="Times New Roman" w:hAnsi="Times New Roman" w:cs="Times New Roman"/>
        </w:rPr>
        <w:t xml:space="preserve"> also show that, although exchange programs such as the Rhodes Scholarships play a significant role in shaping elites through providing opportunity and connection, they are never insulated from broader historical and political forces affecting social and economic development. Such schemes sit in relation to the political imperatives that animated the era of their foundation, are guided by the changing objectives of those who manage them, reshaped by future benefactions, and are influenced by the exposure of their endowments to market and political forces. They will always be utilized for a variety of purposes by scholars, some of which will be contrary to the orig</w:t>
      </w:r>
      <w:r w:rsidR="00955928">
        <w:rPr>
          <w:rFonts w:ascii="Times New Roman" w:hAnsi="Times New Roman" w:cs="Times New Roman"/>
        </w:rPr>
        <w:t xml:space="preserve">inal aims of their foundation. </w:t>
      </w:r>
      <w:r w:rsidRPr="00E76690">
        <w:rPr>
          <w:rFonts w:ascii="Times New Roman" w:hAnsi="Times New Roman" w:cs="Times New Roman"/>
        </w:rPr>
        <w:t xml:space="preserve">It is in this deft political and social mutability that we perhaps find much deeper forces of continuity. As scholars of internationalism are increasingly showing, the </w:t>
      </w:r>
      <w:r w:rsidRPr="00E76690">
        <w:rPr>
          <w:rFonts w:ascii="Times New Roman" w:hAnsi="Times New Roman" w:cs="Times New Roman"/>
        </w:rPr>
        <w:lastRenderedPageBreak/>
        <w:t>United States first competed with and then assumed the mantle of British liberal imperialism. Culture was one of its key methods. And culture is one of the key methods being utilized by a wider variety of state and institutional actors as nations, corporations, foundations and individuals alike seek to adjust to the emerging geopolitical order of the twenty first century.</w:t>
      </w:r>
    </w:p>
    <w:p w14:paraId="4A6287ED" w14:textId="77777777" w:rsidR="00E76690" w:rsidRDefault="00E76690" w:rsidP="005148DC">
      <w:pPr>
        <w:spacing w:line="480" w:lineRule="auto"/>
        <w:jc w:val="both"/>
        <w:rPr>
          <w:rFonts w:ascii="Times New Roman" w:hAnsi="Times New Roman" w:cs="Times New Roman"/>
        </w:rPr>
      </w:pPr>
    </w:p>
    <w:p w14:paraId="3ED168DE" w14:textId="77777777" w:rsidR="005D4920" w:rsidRPr="00942C2E" w:rsidRDefault="005D4920" w:rsidP="005D4920">
      <w:pPr>
        <w:spacing w:line="480" w:lineRule="auto"/>
        <w:jc w:val="both"/>
        <w:rPr>
          <w:rFonts w:ascii="Times New Roman" w:hAnsi="Times New Roman" w:cs="Times New Roman"/>
          <w:b/>
        </w:rPr>
      </w:pPr>
      <w:r w:rsidRPr="00942C2E">
        <w:rPr>
          <w:rFonts w:ascii="Times New Roman" w:hAnsi="Times New Roman" w:cs="Times New Roman"/>
          <w:b/>
        </w:rPr>
        <w:t>References</w:t>
      </w:r>
    </w:p>
    <w:p w14:paraId="02B0E9B7" w14:textId="77777777" w:rsidR="005D4920" w:rsidRDefault="005D4920" w:rsidP="005D4920">
      <w:pPr>
        <w:spacing w:line="480" w:lineRule="auto"/>
        <w:jc w:val="both"/>
        <w:rPr>
          <w:rFonts w:ascii="Times New Roman" w:hAnsi="Times New Roman" w:cs="Times New Roman"/>
        </w:rPr>
      </w:pPr>
    </w:p>
    <w:p w14:paraId="5802B585" w14:textId="77777777" w:rsidR="005D4920" w:rsidRDefault="005D4920" w:rsidP="005D4920">
      <w:pPr>
        <w:spacing w:line="480" w:lineRule="auto"/>
        <w:jc w:val="both"/>
        <w:rPr>
          <w:rFonts w:ascii="Times New Roman" w:hAnsi="Times New Roman" w:cs="Times New Roman"/>
        </w:rPr>
      </w:pPr>
      <w:r>
        <w:rPr>
          <w:rFonts w:ascii="Times New Roman" w:hAnsi="Times New Roman" w:cs="Times New Roman"/>
        </w:rPr>
        <w:t>Al Ariss Akram and</w:t>
      </w:r>
      <w:r w:rsidRPr="00807F00">
        <w:rPr>
          <w:rFonts w:ascii="Times New Roman" w:hAnsi="Times New Roman" w:cs="Times New Roman"/>
        </w:rPr>
        <w:t xml:space="preserve"> Jawad Syed</w:t>
      </w:r>
      <w:r>
        <w:rPr>
          <w:rFonts w:ascii="Times New Roman" w:hAnsi="Times New Roman" w:cs="Times New Roman"/>
        </w:rPr>
        <w:t>,</w:t>
      </w:r>
      <w:r w:rsidRPr="00807F00">
        <w:rPr>
          <w:rFonts w:ascii="Times New Roman" w:hAnsi="Times New Roman" w:cs="Times New Roman"/>
        </w:rPr>
        <w:t xml:space="preserve"> </w:t>
      </w:r>
      <w:r>
        <w:rPr>
          <w:rFonts w:ascii="Times New Roman" w:hAnsi="Times New Roman" w:cs="Times New Roman"/>
        </w:rPr>
        <w:t>“</w:t>
      </w:r>
      <w:r w:rsidRPr="00807F00">
        <w:rPr>
          <w:rFonts w:ascii="Times New Roman" w:hAnsi="Times New Roman" w:cs="Times New Roman"/>
        </w:rPr>
        <w:t>Capital Mobilization of Skilled Migrants: A Relational Perspective</w:t>
      </w:r>
      <w:r>
        <w:rPr>
          <w:rFonts w:ascii="Times New Roman" w:hAnsi="Times New Roman" w:cs="Times New Roman"/>
        </w:rPr>
        <w:t>,”</w:t>
      </w:r>
      <w:r w:rsidRPr="00807F00">
        <w:rPr>
          <w:rFonts w:ascii="Times New Roman" w:hAnsi="Times New Roman" w:cs="Times New Roman"/>
        </w:rPr>
        <w:t xml:space="preserve"> </w:t>
      </w:r>
      <w:r w:rsidRPr="001B4627">
        <w:rPr>
          <w:rFonts w:ascii="Times New Roman" w:hAnsi="Times New Roman" w:cs="Times New Roman"/>
          <w:i/>
        </w:rPr>
        <w:t>British Journal of Management</w:t>
      </w:r>
      <w:r w:rsidRPr="00807F00">
        <w:rPr>
          <w:rFonts w:ascii="Times New Roman" w:hAnsi="Times New Roman" w:cs="Times New Roman"/>
        </w:rPr>
        <w:t xml:space="preserve"> 22</w:t>
      </w:r>
      <w:r>
        <w:rPr>
          <w:rFonts w:ascii="Times New Roman" w:hAnsi="Times New Roman" w:cs="Times New Roman"/>
        </w:rPr>
        <w:t xml:space="preserve"> (2011): 286-304. </w:t>
      </w:r>
    </w:p>
    <w:p w14:paraId="7AFA9751" w14:textId="77777777" w:rsidR="005D4920" w:rsidRDefault="005D4920" w:rsidP="005D4920">
      <w:pPr>
        <w:spacing w:line="480" w:lineRule="auto"/>
        <w:jc w:val="both"/>
        <w:rPr>
          <w:rFonts w:ascii="Times New Roman" w:hAnsi="Times New Roman" w:cs="Times New Roman"/>
        </w:rPr>
      </w:pPr>
    </w:p>
    <w:p w14:paraId="7A8BF3C3" w14:textId="77777777" w:rsidR="005D4920" w:rsidRDefault="005D4920" w:rsidP="005D4920">
      <w:pPr>
        <w:spacing w:line="480" w:lineRule="auto"/>
        <w:jc w:val="both"/>
        <w:rPr>
          <w:rFonts w:ascii="Times New Roman" w:hAnsi="Times New Roman" w:cs="Times New Roman"/>
        </w:rPr>
      </w:pPr>
      <w:r w:rsidRPr="00113DF3">
        <w:rPr>
          <w:rFonts w:ascii="Times New Roman" w:hAnsi="Times New Roman" w:cs="Times New Roman"/>
          <w:i/>
        </w:rPr>
        <w:t>Annual Report and Financial Statements for the Year ended 30 June 2010</w:t>
      </w:r>
      <w:r w:rsidRPr="00807F00">
        <w:rPr>
          <w:rFonts w:ascii="Times New Roman" w:hAnsi="Times New Roman" w:cs="Times New Roman"/>
        </w:rPr>
        <w:t xml:space="preserve"> (Oxford: The Rhodes Trust, 2010), 6.</w:t>
      </w:r>
    </w:p>
    <w:p w14:paraId="66136AE9" w14:textId="77777777" w:rsidR="005D4920" w:rsidRDefault="005D4920" w:rsidP="005D4920">
      <w:pPr>
        <w:spacing w:line="480" w:lineRule="auto"/>
        <w:jc w:val="both"/>
        <w:rPr>
          <w:rFonts w:ascii="Times New Roman" w:hAnsi="Times New Roman" w:cs="Times New Roman"/>
        </w:rPr>
      </w:pPr>
    </w:p>
    <w:p w14:paraId="11F95C37"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Barber William J., “A </w:t>
      </w:r>
      <w:r w:rsidRPr="00C446BA">
        <w:rPr>
          <w:rFonts w:ascii="Times New Roman" w:hAnsi="Times New Roman" w:cs="Times New Roman"/>
        </w:rPr>
        <w:t>Footnote to the Social History of the 1970s: The Opening of the Rhodes Scholarships to Women,”</w:t>
      </w:r>
      <w:r w:rsidRPr="00860FD0">
        <w:rPr>
          <w:rFonts w:ascii="Times New Roman" w:hAnsi="Times New Roman" w:cs="Times New Roman"/>
        </w:rPr>
        <w:t> </w:t>
      </w:r>
      <w:r w:rsidRPr="007025DC">
        <w:rPr>
          <w:rFonts w:ascii="Times New Roman" w:hAnsi="Times New Roman" w:cs="Times New Roman"/>
          <w:i/>
        </w:rPr>
        <w:t>American Oxonian </w:t>
      </w:r>
      <w:r>
        <w:rPr>
          <w:rFonts w:ascii="Times New Roman" w:hAnsi="Times New Roman" w:cs="Times New Roman"/>
        </w:rPr>
        <w:t>87/</w:t>
      </w:r>
      <w:r w:rsidRPr="00860FD0">
        <w:rPr>
          <w:rFonts w:ascii="Times New Roman" w:hAnsi="Times New Roman" w:cs="Times New Roman"/>
        </w:rPr>
        <w:t>2 (2000): 135-146.</w:t>
      </w:r>
    </w:p>
    <w:p w14:paraId="26536F37" w14:textId="77777777" w:rsidR="005D4920" w:rsidRDefault="005D4920" w:rsidP="005D4920">
      <w:pPr>
        <w:spacing w:line="480" w:lineRule="auto"/>
        <w:jc w:val="both"/>
        <w:rPr>
          <w:rFonts w:ascii="Times New Roman" w:hAnsi="Times New Roman" w:cs="Times New Roman"/>
        </w:rPr>
      </w:pPr>
    </w:p>
    <w:p w14:paraId="69DE6486"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Beare Thomas Hudson, “Britannic Scholarships,” </w:t>
      </w:r>
      <w:r w:rsidRPr="000B7485">
        <w:rPr>
          <w:rFonts w:ascii="Times New Roman" w:hAnsi="Times New Roman" w:cs="Times New Roman"/>
          <w:i/>
        </w:rPr>
        <w:t>Greater Britain</w:t>
      </w:r>
      <w:r w:rsidRPr="00807F00">
        <w:rPr>
          <w:rFonts w:ascii="Times New Roman" w:hAnsi="Times New Roman" w:cs="Times New Roman"/>
        </w:rPr>
        <w:t>, 15 October 1892.</w:t>
      </w:r>
    </w:p>
    <w:p w14:paraId="13C356D4" w14:textId="77777777" w:rsidR="005D4920" w:rsidRDefault="005D4920" w:rsidP="005D4920">
      <w:pPr>
        <w:spacing w:line="480" w:lineRule="auto"/>
        <w:jc w:val="both"/>
        <w:rPr>
          <w:rFonts w:ascii="Times New Roman" w:hAnsi="Times New Roman" w:cs="Times New Roman"/>
        </w:rPr>
      </w:pPr>
    </w:p>
    <w:p w14:paraId="47E6B6F1" w14:textId="77777777" w:rsidR="005D4920" w:rsidRDefault="005D4920" w:rsidP="005D4920">
      <w:pPr>
        <w:spacing w:line="480" w:lineRule="auto"/>
        <w:jc w:val="both"/>
        <w:rPr>
          <w:rFonts w:ascii="Times New Roman" w:hAnsi="Times New Roman" w:cs="Times New Roman"/>
        </w:rPr>
      </w:pPr>
      <w:r>
        <w:rPr>
          <w:rFonts w:ascii="Times New Roman" w:hAnsi="Times New Roman" w:cs="Times New Roman"/>
        </w:rPr>
        <w:t>Carr</w:t>
      </w:r>
      <w:r w:rsidRPr="00807F00">
        <w:rPr>
          <w:rFonts w:ascii="Times New Roman" w:hAnsi="Times New Roman" w:cs="Times New Roman"/>
        </w:rPr>
        <w:t xml:space="preserve"> Stuart C</w:t>
      </w:r>
      <w:r>
        <w:rPr>
          <w:rFonts w:ascii="Times New Roman" w:hAnsi="Times New Roman" w:cs="Times New Roman"/>
        </w:rPr>
        <w:t>.</w:t>
      </w:r>
      <w:r w:rsidRPr="00807F00">
        <w:rPr>
          <w:rFonts w:ascii="Times New Roman" w:hAnsi="Times New Roman" w:cs="Times New Roman"/>
        </w:rPr>
        <w:t xml:space="preserve">, </w:t>
      </w:r>
      <w:r>
        <w:rPr>
          <w:rFonts w:ascii="Times New Roman" w:hAnsi="Times New Roman" w:cs="Times New Roman"/>
        </w:rPr>
        <w:t>Kerr Inkson and</w:t>
      </w:r>
      <w:r w:rsidRPr="00807F00">
        <w:rPr>
          <w:rFonts w:ascii="Times New Roman" w:hAnsi="Times New Roman" w:cs="Times New Roman"/>
        </w:rPr>
        <w:t xml:space="preserve"> Kaye Thorn</w:t>
      </w:r>
      <w:r>
        <w:rPr>
          <w:rFonts w:ascii="Times New Roman" w:hAnsi="Times New Roman" w:cs="Times New Roman"/>
        </w:rPr>
        <w:t>, “</w:t>
      </w:r>
      <w:r w:rsidRPr="00807F00">
        <w:rPr>
          <w:rFonts w:ascii="Times New Roman" w:hAnsi="Times New Roman" w:cs="Times New Roman"/>
        </w:rPr>
        <w:t>From global careers to talent flow: Reinterpret</w:t>
      </w:r>
      <w:r>
        <w:rPr>
          <w:rFonts w:ascii="Times New Roman" w:hAnsi="Times New Roman" w:cs="Times New Roman"/>
        </w:rPr>
        <w:t>ing ‘brain drain,</w:t>
      </w:r>
      <w:r w:rsidRPr="00807F00">
        <w:rPr>
          <w:rFonts w:ascii="Times New Roman" w:hAnsi="Times New Roman" w:cs="Times New Roman"/>
        </w:rPr>
        <w:t>’</w:t>
      </w:r>
      <w:r>
        <w:rPr>
          <w:rFonts w:ascii="Times New Roman" w:hAnsi="Times New Roman" w:cs="Times New Roman"/>
        </w:rPr>
        <w:t>”</w:t>
      </w:r>
      <w:r w:rsidRPr="00807F00">
        <w:rPr>
          <w:rFonts w:ascii="Times New Roman" w:hAnsi="Times New Roman" w:cs="Times New Roman"/>
        </w:rPr>
        <w:t xml:space="preserve"> </w:t>
      </w:r>
      <w:r w:rsidRPr="001B4627">
        <w:rPr>
          <w:rFonts w:ascii="Times New Roman" w:hAnsi="Times New Roman" w:cs="Times New Roman"/>
          <w:i/>
        </w:rPr>
        <w:t xml:space="preserve">Journal of World Businesses </w:t>
      </w:r>
      <w:r w:rsidRPr="00807F00">
        <w:rPr>
          <w:rFonts w:ascii="Times New Roman" w:hAnsi="Times New Roman" w:cs="Times New Roman"/>
        </w:rPr>
        <w:t>40</w:t>
      </w:r>
      <w:r>
        <w:rPr>
          <w:rFonts w:ascii="Times New Roman" w:hAnsi="Times New Roman" w:cs="Times New Roman"/>
        </w:rPr>
        <w:t xml:space="preserve"> (2005): 386-398. </w:t>
      </w:r>
    </w:p>
    <w:p w14:paraId="790510AB" w14:textId="77777777" w:rsidR="005D4920" w:rsidRDefault="005D4920" w:rsidP="005D4920">
      <w:pPr>
        <w:spacing w:line="480" w:lineRule="auto"/>
        <w:jc w:val="both"/>
        <w:rPr>
          <w:rFonts w:ascii="Times New Roman" w:hAnsi="Times New Roman" w:cs="Times New Roman"/>
        </w:rPr>
      </w:pPr>
    </w:p>
    <w:p w14:paraId="525D5726"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Cooper J. Astley, “Many Lands - One People: A Criticism and a Suggestion,” </w:t>
      </w:r>
      <w:r w:rsidRPr="000B7485">
        <w:rPr>
          <w:rFonts w:ascii="Times New Roman" w:hAnsi="Times New Roman" w:cs="Times New Roman"/>
          <w:i/>
        </w:rPr>
        <w:t>Greater Britain</w:t>
      </w:r>
      <w:r w:rsidRPr="00807F00">
        <w:rPr>
          <w:rFonts w:ascii="Times New Roman" w:hAnsi="Times New Roman" w:cs="Times New Roman"/>
        </w:rPr>
        <w:t>, 15 July 1891.</w:t>
      </w:r>
    </w:p>
    <w:p w14:paraId="61E51D5A" w14:textId="77777777" w:rsidR="005D4920" w:rsidRDefault="005D4920" w:rsidP="005D4920">
      <w:pPr>
        <w:spacing w:line="480" w:lineRule="auto"/>
        <w:jc w:val="both"/>
        <w:rPr>
          <w:rFonts w:ascii="Times New Roman" w:hAnsi="Times New Roman" w:cs="Times New Roman"/>
        </w:rPr>
      </w:pPr>
    </w:p>
    <w:p w14:paraId="2DA3E9A7" w14:textId="76C4DF9F" w:rsidR="005D4920" w:rsidRPr="00924CB3" w:rsidRDefault="00A82658" w:rsidP="005D4920">
      <w:pPr>
        <w:spacing w:line="480" w:lineRule="auto"/>
        <w:jc w:val="both"/>
        <w:rPr>
          <w:rFonts w:ascii="Times New Roman" w:hAnsi="Times New Roman" w:cs="Times New Roman"/>
        </w:rPr>
      </w:pPr>
      <w:r>
        <w:rPr>
          <w:rFonts w:ascii="Times New Roman" w:hAnsi="Times New Roman" w:cs="Times New Roman"/>
        </w:rPr>
        <w:lastRenderedPageBreak/>
        <w:t>———.</w:t>
      </w:r>
      <w:r w:rsidR="005D4920" w:rsidRPr="00807F00">
        <w:rPr>
          <w:rFonts w:ascii="Times New Roman" w:hAnsi="Times New Roman" w:cs="Times New Roman"/>
        </w:rPr>
        <w:t xml:space="preserve"> “The Proposed Periodic Britannic Contest and All-English Speaking Festival,” </w:t>
      </w:r>
      <w:r w:rsidR="005D4920" w:rsidRPr="000B7485">
        <w:rPr>
          <w:rFonts w:ascii="Times New Roman" w:hAnsi="Times New Roman" w:cs="Times New Roman"/>
          <w:i/>
        </w:rPr>
        <w:t>Greater Britain</w:t>
      </w:r>
      <w:r w:rsidR="005D4920" w:rsidRPr="00807F00">
        <w:rPr>
          <w:rFonts w:ascii="Times New Roman" w:hAnsi="Times New Roman" w:cs="Times New Roman"/>
        </w:rPr>
        <w:t>, 15 November 1891.</w:t>
      </w:r>
    </w:p>
    <w:p w14:paraId="04476AFD" w14:textId="77777777" w:rsidR="005D4920" w:rsidRDefault="005D4920" w:rsidP="005D4920">
      <w:pPr>
        <w:spacing w:line="480" w:lineRule="auto"/>
        <w:jc w:val="both"/>
        <w:rPr>
          <w:rFonts w:ascii="Times New Roman" w:hAnsi="Times New Roman" w:cs="Times New Roman"/>
        </w:rPr>
      </w:pPr>
    </w:p>
    <w:p w14:paraId="42E00BAE"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Dean Katrina, “Inscribing Settler Science: Ernest Rutherford, Thomas Laby and the making of careers in physics,” </w:t>
      </w:r>
      <w:r w:rsidRPr="000B7485">
        <w:rPr>
          <w:rFonts w:ascii="Times New Roman" w:hAnsi="Times New Roman" w:cs="Times New Roman"/>
          <w:i/>
        </w:rPr>
        <w:t>History of Science</w:t>
      </w:r>
      <w:r>
        <w:rPr>
          <w:rFonts w:ascii="Times New Roman" w:hAnsi="Times New Roman" w:cs="Times New Roman"/>
        </w:rPr>
        <w:t xml:space="preserve"> 41 (2003): 217-40</w:t>
      </w:r>
      <w:r w:rsidRPr="00807F00">
        <w:rPr>
          <w:rFonts w:ascii="Times New Roman" w:hAnsi="Times New Roman" w:cs="Times New Roman"/>
        </w:rPr>
        <w:t xml:space="preserve"> </w:t>
      </w:r>
      <w:r>
        <w:rPr>
          <w:rFonts w:ascii="Times New Roman" w:hAnsi="Times New Roman" w:cs="Times New Roman"/>
        </w:rPr>
        <w:t>(</w:t>
      </w:r>
      <w:r w:rsidRPr="00807F00">
        <w:rPr>
          <w:rFonts w:ascii="Times New Roman" w:hAnsi="Times New Roman" w:cs="Times New Roman"/>
        </w:rPr>
        <w:t>222</w:t>
      </w:r>
      <w:r>
        <w:rPr>
          <w:rFonts w:ascii="Times New Roman" w:hAnsi="Times New Roman" w:cs="Times New Roman"/>
        </w:rPr>
        <w:t>)</w:t>
      </w:r>
      <w:r w:rsidRPr="00807F00">
        <w:rPr>
          <w:rFonts w:ascii="Times New Roman" w:hAnsi="Times New Roman" w:cs="Times New Roman"/>
        </w:rPr>
        <w:t>.</w:t>
      </w:r>
    </w:p>
    <w:p w14:paraId="282CECA7" w14:textId="77777777" w:rsidR="005D4920" w:rsidRDefault="005D4920" w:rsidP="005D4920">
      <w:pPr>
        <w:spacing w:line="480" w:lineRule="auto"/>
        <w:jc w:val="both"/>
        <w:rPr>
          <w:rFonts w:ascii="Times New Roman" w:hAnsi="Times New Roman" w:cs="Times New Roman"/>
        </w:rPr>
      </w:pPr>
    </w:p>
    <w:p w14:paraId="5E7F7F5C" w14:textId="77777777" w:rsidR="005D4920" w:rsidRPr="00924CB3" w:rsidRDefault="005D4920" w:rsidP="005D4920">
      <w:pPr>
        <w:pStyle w:val="EndnoteText"/>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Evans Ralph, e</w:t>
      </w:r>
      <w:r w:rsidRPr="00807F00">
        <w:rPr>
          <w:rFonts w:ascii="Times New Roman" w:hAnsi="Times New Roman" w:cs="Times New Roman"/>
          <w:sz w:val="24"/>
          <w:szCs w:val="24"/>
        </w:rPr>
        <w:t xml:space="preserve">d., </w:t>
      </w:r>
      <w:r w:rsidRPr="00432467">
        <w:rPr>
          <w:rFonts w:ascii="Times New Roman" w:hAnsi="Times New Roman" w:cs="Times New Roman"/>
          <w:i/>
          <w:sz w:val="24"/>
          <w:szCs w:val="24"/>
        </w:rPr>
        <w:t>Register of Rhodes Scholars, 1903-1998</w:t>
      </w:r>
      <w:r>
        <w:rPr>
          <w:rFonts w:ascii="Times New Roman" w:hAnsi="Times New Roman" w:cs="Times New Roman"/>
          <w:sz w:val="24"/>
          <w:szCs w:val="24"/>
        </w:rPr>
        <w:t>, 1988</w:t>
      </w:r>
      <w:r w:rsidRPr="00807F00">
        <w:rPr>
          <w:rFonts w:ascii="Times New Roman" w:hAnsi="Times New Roman" w:cs="Times New Roman"/>
          <w:sz w:val="24"/>
          <w:szCs w:val="24"/>
        </w:rPr>
        <w:t xml:space="preserve"> and 1996 </w:t>
      </w:r>
      <w:proofErr w:type="gramStart"/>
      <w:r w:rsidRPr="00807F00">
        <w:rPr>
          <w:rFonts w:ascii="Times New Roman" w:hAnsi="Times New Roman" w:cs="Times New Roman"/>
          <w:sz w:val="24"/>
          <w:szCs w:val="24"/>
        </w:rPr>
        <w:t>eds</w:t>
      </w:r>
      <w:proofErr w:type="gramEnd"/>
      <w:r w:rsidRPr="00807F00">
        <w:rPr>
          <w:rFonts w:ascii="Times New Roman" w:hAnsi="Times New Roman" w:cs="Times New Roman"/>
          <w:sz w:val="24"/>
          <w:szCs w:val="24"/>
        </w:rPr>
        <w:t xml:space="preserve">. </w:t>
      </w:r>
      <w:proofErr w:type="gramStart"/>
      <w:r w:rsidRPr="00807F00">
        <w:rPr>
          <w:rFonts w:ascii="Times New Roman" w:hAnsi="Times New Roman" w:cs="Times New Roman"/>
          <w:sz w:val="24"/>
          <w:szCs w:val="24"/>
        </w:rPr>
        <w:t>(Oxford: The Rhodes Trust, 1988 and 1996).</w:t>
      </w:r>
      <w:proofErr w:type="gramEnd"/>
    </w:p>
    <w:p w14:paraId="5C45CB34" w14:textId="77777777" w:rsidR="005D4920" w:rsidRDefault="005D4920" w:rsidP="005D4920">
      <w:pPr>
        <w:spacing w:line="480" w:lineRule="auto"/>
        <w:jc w:val="both"/>
        <w:rPr>
          <w:rFonts w:ascii="Times New Roman" w:hAnsi="Times New Roman" w:cs="Times New Roman"/>
        </w:rPr>
      </w:pPr>
    </w:p>
    <w:p w14:paraId="7C918179" w14:textId="77777777" w:rsidR="005D4920" w:rsidRDefault="005D4920" w:rsidP="005D4920">
      <w:pPr>
        <w:spacing w:line="480" w:lineRule="auto"/>
        <w:jc w:val="both"/>
        <w:rPr>
          <w:rFonts w:ascii="Times New Roman" w:hAnsi="Times New Roman" w:cs="Times New Roman"/>
        </w:rPr>
      </w:pPr>
      <w:r w:rsidRPr="00807F00">
        <w:rPr>
          <w:rFonts w:ascii="Times New Roman" w:hAnsi="Times New Roman" w:cs="Times New Roman"/>
        </w:rPr>
        <w:t>Jöns</w:t>
      </w:r>
      <w:r>
        <w:rPr>
          <w:rFonts w:ascii="Times New Roman" w:hAnsi="Times New Roman" w:cs="Times New Roman"/>
        </w:rPr>
        <w:t xml:space="preserve"> Heike</w:t>
      </w:r>
      <w:r w:rsidRPr="00807F00">
        <w:rPr>
          <w:rFonts w:ascii="Times New Roman" w:hAnsi="Times New Roman" w:cs="Times New Roman"/>
        </w:rPr>
        <w:t xml:space="preserve">, </w:t>
      </w:r>
      <w:r>
        <w:rPr>
          <w:rFonts w:ascii="Times New Roman" w:hAnsi="Times New Roman" w:cs="Times New Roman"/>
        </w:rPr>
        <w:t>“‘Brain circulation’</w:t>
      </w:r>
      <w:r w:rsidRPr="00807F00">
        <w:rPr>
          <w:rFonts w:ascii="Times New Roman" w:hAnsi="Times New Roman" w:cs="Times New Roman"/>
        </w:rPr>
        <w:t xml:space="preserve"> and transnational knowledge networks: studying long-term effects of academic mobility to Germany, 1954-2000</w:t>
      </w:r>
      <w:r>
        <w:rPr>
          <w:rFonts w:ascii="Times New Roman" w:hAnsi="Times New Roman" w:cs="Times New Roman"/>
        </w:rPr>
        <w:t>,”</w:t>
      </w:r>
      <w:r w:rsidRPr="00807F00">
        <w:rPr>
          <w:rFonts w:ascii="Times New Roman" w:hAnsi="Times New Roman" w:cs="Times New Roman"/>
        </w:rPr>
        <w:t xml:space="preserve"> </w:t>
      </w:r>
      <w:r w:rsidRPr="00E27583">
        <w:rPr>
          <w:rFonts w:ascii="Times New Roman" w:hAnsi="Times New Roman" w:cs="Times New Roman"/>
          <w:i/>
        </w:rPr>
        <w:t>Global Networks</w:t>
      </w:r>
      <w:r w:rsidRPr="00300062">
        <w:rPr>
          <w:rFonts w:ascii="Times New Roman" w:hAnsi="Times New Roman" w:cs="Times New Roman"/>
        </w:rPr>
        <w:t xml:space="preserve"> 9</w:t>
      </w:r>
      <w:r>
        <w:rPr>
          <w:rFonts w:ascii="Times New Roman" w:hAnsi="Times New Roman" w:cs="Times New Roman"/>
        </w:rPr>
        <w:t>/</w:t>
      </w:r>
      <w:r w:rsidRPr="00300062">
        <w:rPr>
          <w:rFonts w:ascii="Times New Roman" w:hAnsi="Times New Roman" w:cs="Times New Roman"/>
        </w:rPr>
        <w:t>3</w:t>
      </w:r>
      <w:r>
        <w:rPr>
          <w:rFonts w:ascii="Times New Roman" w:hAnsi="Times New Roman" w:cs="Times New Roman"/>
        </w:rPr>
        <w:t xml:space="preserve"> (2009</w:t>
      </w:r>
      <w:r w:rsidRPr="00300062">
        <w:rPr>
          <w:rFonts w:ascii="Times New Roman" w:hAnsi="Times New Roman" w:cs="Times New Roman"/>
        </w:rPr>
        <w:t>): 315-338.</w:t>
      </w:r>
    </w:p>
    <w:p w14:paraId="7520FB43" w14:textId="77777777" w:rsidR="005D4920" w:rsidRDefault="005D4920" w:rsidP="005D4920">
      <w:pPr>
        <w:spacing w:line="480" w:lineRule="auto"/>
        <w:jc w:val="both"/>
        <w:rPr>
          <w:rFonts w:ascii="Times New Roman" w:hAnsi="Times New Roman" w:cs="Times New Roman"/>
        </w:rPr>
      </w:pPr>
    </w:p>
    <w:p w14:paraId="0D54205F" w14:textId="77777777" w:rsidR="005D4920" w:rsidRDefault="005D4920" w:rsidP="005D4920">
      <w:pPr>
        <w:spacing w:line="480" w:lineRule="auto"/>
        <w:jc w:val="both"/>
        <w:rPr>
          <w:rFonts w:ascii="Times New Roman" w:hAnsi="Times New Roman" w:cs="Times New Roman"/>
        </w:rPr>
      </w:pPr>
      <w:r>
        <w:rPr>
          <w:rFonts w:ascii="Times New Roman" w:hAnsi="Times New Roman" w:cs="Times New Roman"/>
        </w:rPr>
        <w:t>Mahoney James and</w:t>
      </w:r>
      <w:r w:rsidRPr="00144D11">
        <w:rPr>
          <w:rFonts w:ascii="Times New Roman" w:hAnsi="Times New Roman" w:cs="Times New Roman"/>
        </w:rPr>
        <w:t xml:space="preserve"> Kathleen Thelen</w:t>
      </w:r>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w:t>
      </w:r>
      <w:r w:rsidRPr="00144D11">
        <w:rPr>
          <w:rFonts w:ascii="Times New Roman" w:hAnsi="Times New Roman" w:cs="Times New Roman"/>
        </w:rPr>
        <w:t xml:space="preserve"> </w:t>
      </w:r>
      <w:r w:rsidRPr="00903A20">
        <w:rPr>
          <w:rFonts w:ascii="Times New Roman" w:hAnsi="Times New Roman" w:cs="Times New Roman"/>
          <w:i/>
        </w:rPr>
        <w:t xml:space="preserve">Explaining Institutional Change: Ambiguity, Agency, and Power </w:t>
      </w:r>
      <w:r>
        <w:rPr>
          <w:rFonts w:ascii="Times New Roman" w:hAnsi="Times New Roman" w:cs="Times New Roman"/>
        </w:rPr>
        <w:t>(</w:t>
      </w:r>
      <w:r w:rsidRPr="00144D11">
        <w:rPr>
          <w:rFonts w:ascii="Times New Roman" w:hAnsi="Times New Roman" w:cs="Times New Roman"/>
        </w:rPr>
        <w:t>Cambridge: Cam</w:t>
      </w:r>
      <w:r>
        <w:rPr>
          <w:rFonts w:ascii="Times New Roman" w:hAnsi="Times New Roman" w:cs="Times New Roman"/>
        </w:rPr>
        <w:t xml:space="preserve">bridge University Press, </w:t>
      </w:r>
      <w:r w:rsidRPr="00144D11">
        <w:rPr>
          <w:rFonts w:ascii="Times New Roman" w:hAnsi="Times New Roman" w:cs="Times New Roman"/>
        </w:rPr>
        <w:t>201</w:t>
      </w:r>
      <w:r>
        <w:rPr>
          <w:rFonts w:ascii="Times New Roman" w:hAnsi="Times New Roman" w:cs="Times New Roman"/>
        </w:rPr>
        <w:t>0</w:t>
      </w:r>
      <w:r w:rsidRPr="00144D11">
        <w:rPr>
          <w:rFonts w:ascii="Times New Roman" w:hAnsi="Times New Roman" w:cs="Times New Roman"/>
        </w:rPr>
        <w:t>)</w:t>
      </w:r>
      <w:r>
        <w:rPr>
          <w:rFonts w:ascii="Times New Roman" w:hAnsi="Times New Roman" w:cs="Times New Roman"/>
        </w:rPr>
        <w:t>.</w:t>
      </w:r>
    </w:p>
    <w:p w14:paraId="6F6A86B2" w14:textId="77777777" w:rsidR="005D4920" w:rsidRDefault="005D4920" w:rsidP="005D4920">
      <w:pPr>
        <w:spacing w:line="480" w:lineRule="auto"/>
        <w:jc w:val="both"/>
        <w:rPr>
          <w:rFonts w:ascii="Times New Roman" w:hAnsi="Times New Roman" w:cs="Times New Roman"/>
        </w:rPr>
      </w:pPr>
    </w:p>
    <w:p w14:paraId="64BE3E9E" w14:textId="77777777" w:rsidR="005D4920"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Pietsch Tamson, </w:t>
      </w:r>
      <w:r w:rsidRPr="00097555">
        <w:rPr>
          <w:rFonts w:ascii="Times New Roman" w:hAnsi="Times New Roman" w:cs="Times New Roman"/>
        </w:rPr>
        <w:t>“Many Rhodes: Travelling Scholarships and Imp</w:t>
      </w:r>
      <w:r w:rsidRPr="00F451B1">
        <w:rPr>
          <w:rFonts w:ascii="Times New Roman" w:hAnsi="Times New Roman" w:cs="Times New Roman"/>
        </w:rPr>
        <w:t>erial C</w:t>
      </w:r>
      <w:r w:rsidRPr="00F56A99">
        <w:rPr>
          <w:rFonts w:ascii="Times New Roman" w:hAnsi="Times New Roman" w:cs="Times New Roman"/>
        </w:rPr>
        <w:t>itizenship in the British Ac</w:t>
      </w:r>
      <w:r w:rsidRPr="00924CB3">
        <w:rPr>
          <w:rFonts w:ascii="Times New Roman" w:hAnsi="Times New Roman" w:cs="Times New Roman"/>
        </w:rPr>
        <w:t xml:space="preserve">ademic World, 1880-1940,” </w:t>
      </w:r>
      <w:r w:rsidRPr="00432467">
        <w:rPr>
          <w:rFonts w:ascii="Times New Roman" w:hAnsi="Times New Roman" w:cs="Times New Roman"/>
          <w:i/>
        </w:rPr>
        <w:t>History of Education</w:t>
      </w:r>
      <w:r>
        <w:rPr>
          <w:rFonts w:ascii="Times New Roman" w:hAnsi="Times New Roman" w:cs="Times New Roman"/>
        </w:rPr>
        <w:t xml:space="preserve"> 40/6 (2011): </w:t>
      </w:r>
      <w:r w:rsidRPr="00955928">
        <w:rPr>
          <w:rFonts w:ascii="Times New Roman" w:hAnsi="Times New Roman" w:cs="Times New Roman"/>
        </w:rPr>
        <w:t>723-739</w:t>
      </w:r>
      <w:r w:rsidRPr="00924CB3">
        <w:rPr>
          <w:rFonts w:ascii="Times New Roman" w:hAnsi="Times New Roman" w:cs="Times New Roman"/>
        </w:rPr>
        <w:t xml:space="preserve"> </w:t>
      </w:r>
      <w:r>
        <w:rPr>
          <w:rFonts w:ascii="Times New Roman" w:hAnsi="Times New Roman" w:cs="Times New Roman"/>
        </w:rPr>
        <w:t>(</w:t>
      </w:r>
      <w:r w:rsidRPr="00924CB3">
        <w:rPr>
          <w:rFonts w:ascii="Times New Roman" w:hAnsi="Times New Roman" w:cs="Times New Roman"/>
        </w:rPr>
        <w:t>724</w:t>
      </w:r>
      <w:r>
        <w:rPr>
          <w:rFonts w:ascii="Times New Roman" w:hAnsi="Times New Roman" w:cs="Times New Roman"/>
        </w:rPr>
        <w:t>)</w:t>
      </w:r>
      <w:r w:rsidRPr="00924CB3">
        <w:rPr>
          <w:rFonts w:ascii="Times New Roman" w:hAnsi="Times New Roman" w:cs="Times New Roman"/>
        </w:rPr>
        <w:t>.</w:t>
      </w:r>
    </w:p>
    <w:p w14:paraId="71751913" w14:textId="77777777" w:rsidR="005D4920" w:rsidRDefault="005D4920" w:rsidP="005D4920">
      <w:pPr>
        <w:spacing w:line="480" w:lineRule="auto"/>
        <w:jc w:val="both"/>
        <w:rPr>
          <w:rFonts w:ascii="Times New Roman" w:hAnsi="Times New Roman" w:cs="Times New Roman"/>
        </w:rPr>
      </w:pPr>
    </w:p>
    <w:p w14:paraId="344FDA66" w14:textId="1C6C6469" w:rsidR="005D4920" w:rsidRPr="00147FD0" w:rsidRDefault="00A82658" w:rsidP="005D4920">
      <w:pPr>
        <w:pStyle w:val="EndnoteText"/>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5D4920" w:rsidRPr="00C446BA">
        <w:rPr>
          <w:rFonts w:ascii="Times New Roman" w:hAnsi="Times New Roman" w:cs="Times New Roman"/>
          <w:sz w:val="24"/>
          <w:szCs w:val="24"/>
        </w:rPr>
        <w:t xml:space="preserve"> </w:t>
      </w:r>
      <w:r w:rsidR="005D4920" w:rsidRPr="007025DC">
        <w:rPr>
          <w:rFonts w:ascii="Times New Roman" w:hAnsi="Times New Roman" w:cs="Times New Roman"/>
          <w:i/>
          <w:iCs/>
          <w:sz w:val="24"/>
          <w:szCs w:val="24"/>
          <w:lang w:val="en-US"/>
        </w:rPr>
        <w:t>Empire of Scholars: Universities, Networks and the British Academic World, 1850-1939</w:t>
      </w:r>
      <w:r w:rsidR="005D4920" w:rsidRPr="007025DC">
        <w:rPr>
          <w:rFonts w:ascii="Times New Roman" w:hAnsi="Times New Roman" w:cs="Times New Roman"/>
          <w:sz w:val="24"/>
          <w:szCs w:val="24"/>
          <w:lang w:val="en-US"/>
        </w:rPr>
        <w:t xml:space="preserve"> </w:t>
      </w:r>
      <w:r w:rsidR="005D4920" w:rsidRPr="00C446BA">
        <w:rPr>
          <w:rFonts w:ascii="Times New Roman" w:hAnsi="Times New Roman" w:cs="Times New Roman"/>
          <w:sz w:val="24"/>
          <w:szCs w:val="24"/>
          <w:lang w:val="en-US"/>
        </w:rPr>
        <w:t>(Manchester: Manchester University Press, 2013)</w:t>
      </w:r>
      <w:r w:rsidR="005D4920">
        <w:rPr>
          <w:rFonts w:ascii="Times New Roman" w:hAnsi="Times New Roman" w:cs="Times New Roman"/>
          <w:sz w:val="24"/>
          <w:szCs w:val="24"/>
        </w:rPr>
        <w:t>,</w:t>
      </w:r>
      <w:r w:rsidR="005D4920" w:rsidRPr="00C446BA">
        <w:rPr>
          <w:rFonts w:ascii="Times New Roman" w:hAnsi="Times New Roman" w:cs="Times New Roman"/>
          <w:sz w:val="24"/>
          <w:szCs w:val="24"/>
        </w:rPr>
        <w:t xml:space="preserve"> 61-89.</w:t>
      </w:r>
    </w:p>
    <w:p w14:paraId="767A557D" w14:textId="77777777" w:rsidR="005D4920" w:rsidRDefault="005D4920" w:rsidP="005D4920">
      <w:pPr>
        <w:spacing w:line="480" w:lineRule="auto"/>
        <w:jc w:val="both"/>
        <w:rPr>
          <w:rFonts w:ascii="Times New Roman" w:hAnsi="Times New Roman" w:cs="Times New Roman"/>
        </w:rPr>
      </w:pPr>
    </w:p>
    <w:p w14:paraId="4E2EA5D4" w14:textId="77777777" w:rsidR="005D4920" w:rsidRDefault="005D4920" w:rsidP="005D4920">
      <w:pPr>
        <w:spacing w:line="480" w:lineRule="auto"/>
        <w:jc w:val="both"/>
        <w:rPr>
          <w:rFonts w:ascii="Times New Roman" w:hAnsi="Times New Roman" w:cs="Times New Roman"/>
        </w:rPr>
      </w:pPr>
      <w:r w:rsidRPr="00807F00">
        <w:rPr>
          <w:rFonts w:ascii="Times New Roman" w:hAnsi="Times New Roman" w:cs="Times New Roman"/>
        </w:rPr>
        <w:t>“</w:t>
      </w:r>
      <w:r w:rsidRPr="00097555">
        <w:rPr>
          <w:rFonts w:ascii="Times New Roman" w:hAnsi="Times New Roman" w:cs="Times New Roman"/>
        </w:rPr>
        <w:t>Rhodes Scholars: complete list, 1903-2014,”</w:t>
      </w:r>
      <w:r w:rsidRPr="00F451B1">
        <w:rPr>
          <w:rFonts w:ascii="Times New Roman" w:hAnsi="Times New Roman" w:cs="Times New Roman"/>
        </w:rPr>
        <w:t xml:space="preserve"> </w:t>
      </w:r>
      <w:r w:rsidRPr="00432467">
        <w:rPr>
          <w:rFonts w:ascii="Times New Roman" w:hAnsi="Times New Roman" w:cs="Times New Roman"/>
        </w:rPr>
        <w:t>The Rhodes Trust</w:t>
      </w:r>
      <w:r w:rsidRPr="009C1031">
        <w:rPr>
          <w:rFonts w:ascii="Times New Roman" w:hAnsi="Times New Roman" w:cs="Times New Roman"/>
          <w:i/>
        </w:rPr>
        <w:t>,</w:t>
      </w:r>
      <w:r w:rsidRPr="00924CB3">
        <w:rPr>
          <w:rFonts w:ascii="Times New Roman" w:hAnsi="Times New Roman" w:cs="Times New Roman"/>
          <w:u w:val="single"/>
        </w:rPr>
        <w:t xml:space="preserve"> </w:t>
      </w:r>
      <w:hyperlink r:id="rId9" w:history="1">
        <w:r w:rsidRPr="00924CB3">
          <w:rPr>
            <w:rFonts w:ascii="Times New Roman" w:hAnsi="Times New Roman" w:cs="Times New Roman"/>
          </w:rPr>
          <w:t>http://www.rhodeshouse.ox.ac.uk/about/rhodes-scholars/rhodes-scholars-complete-list</w:t>
        </w:r>
      </w:hyperlink>
      <w:r>
        <w:rPr>
          <w:rFonts w:ascii="Times New Roman" w:hAnsi="Times New Roman" w:cs="Times New Roman"/>
        </w:rPr>
        <w:t xml:space="preserve">, accessed </w:t>
      </w:r>
      <w:r w:rsidRPr="009C1031">
        <w:rPr>
          <w:rFonts w:ascii="Times New Roman" w:hAnsi="Times New Roman" w:cs="Times New Roman"/>
        </w:rPr>
        <w:t>1 February 2016.</w:t>
      </w:r>
    </w:p>
    <w:p w14:paraId="6E9C94CC" w14:textId="77777777" w:rsidR="005D4920" w:rsidRDefault="005D4920" w:rsidP="005D4920">
      <w:pPr>
        <w:spacing w:line="480" w:lineRule="auto"/>
        <w:jc w:val="both"/>
        <w:rPr>
          <w:rFonts w:ascii="Times New Roman" w:hAnsi="Times New Roman" w:cs="Times New Roman"/>
        </w:rPr>
      </w:pPr>
    </w:p>
    <w:p w14:paraId="08054DB3" w14:textId="77777777" w:rsidR="005D4920" w:rsidRDefault="005D4920" w:rsidP="005D4920">
      <w:pPr>
        <w:spacing w:line="480" w:lineRule="auto"/>
        <w:jc w:val="both"/>
        <w:rPr>
          <w:rFonts w:ascii="Times New Roman" w:hAnsi="Times New Roman" w:cs="Times New Roman"/>
        </w:rPr>
      </w:pPr>
      <w:r w:rsidRPr="00807F00">
        <w:rPr>
          <w:rFonts w:ascii="Times New Roman" w:hAnsi="Times New Roman" w:cs="Times New Roman"/>
        </w:rPr>
        <w:t>“Rhodes Trust Infographic</w:t>
      </w:r>
      <w:r w:rsidRPr="00097555">
        <w:rPr>
          <w:rFonts w:ascii="Times New Roman" w:hAnsi="Times New Roman" w:cs="Times New Roman"/>
        </w:rPr>
        <w:t xml:space="preserve">s,” </w:t>
      </w:r>
      <w:r w:rsidRPr="00432467">
        <w:rPr>
          <w:rFonts w:ascii="Times New Roman" w:hAnsi="Times New Roman" w:cs="Times New Roman"/>
        </w:rPr>
        <w:t>The Rhodes Trust</w:t>
      </w:r>
      <w:r w:rsidRPr="00F56A99">
        <w:rPr>
          <w:rFonts w:ascii="Times New Roman" w:hAnsi="Times New Roman" w:cs="Times New Roman"/>
        </w:rPr>
        <w:t>,</w:t>
      </w:r>
      <w:r>
        <w:rPr>
          <w:rFonts w:ascii="Times New Roman" w:hAnsi="Times New Roman" w:cs="Times New Roman"/>
        </w:rPr>
        <w:t xml:space="preserve"> </w:t>
      </w:r>
      <w:hyperlink r:id="rId10" w:history="1">
        <w:r w:rsidRPr="00924CB3">
          <w:rPr>
            <w:rFonts w:ascii="Times New Roman" w:hAnsi="Times New Roman" w:cs="Times New Roman"/>
          </w:rPr>
          <w:t>http://www.rhodeshouse.ox.ac.uk/infographic</w:t>
        </w:r>
      </w:hyperlink>
      <w:r w:rsidRPr="00924CB3">
        <w:rPr>
          <w:rFonts w:ascii="Times New Roman" w:hAnsi="Times New Roman" w:cs="Times New Roman"/>
        </w:rPr>
        <w:t>,</w:t>
      </w:r>
      <w:r>
        <w:rPr>
          <w:rFonts w:ascii="Times New Roman" w:hAnsi="Times New Roman" w:cs="Times New Roman"/>
        </w:rPr>
        <w:t xml:space="preserve"> accessed </w:t>
      </w:r>
      <w:r w:rsidRPr="00924CB3">
        <w:rPr>
          <w:rFonts w:ascii="Times New Roman" w:hAnsi="Times New Roman" w:cs="Times New Roman"/>
        </w:rPr>
        <w:t>1 February 2016</w:t>
      </w:r>
      <w:r>
        <w:rPr>
          <w:rFonts w:ascii="Times New Roman" w:hAnsi="Times New Roman" w:cs="Times New Roman"/>
        </w:rPr>
        <w:t>.</w:t>
      </w:r>
    </w:p>
    <w:p w14:paraId="4E827B9B" w14:textId="77777777" w:rsidR="005D4920" w:rsidRDefault="005D4920" w:rsidP="005D4920">
      <w:pPr>
        <w:spacing w:line="480" w:lineRule="auto"/>
        <w:jc w:val="both"/>
        <w:rPr>
          <w:rFonts w:ascii="Times New Roman" w:hAnsi="Times New Roman" w:cs="Times New Roman"/>
        </w:rPr>
      </w:pPr>
    </w:p>
    <w:p w14:paraId="7ECCD042"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Rotberg Robert I</w:t>
      </w:r>
      <w:r>
        <w:rPr>
          <w:rFonts w:ascii="Times New Roman" w:hAnsi="Times New Roman" w:cs="Times New Roman"/>
        </w:rPr>
        <w:t>.</w:t>
      </w:r>
      <w:r w:rsidRPr="00807F00">
        <w:rPr>
          <w:rFonts w:ascii="Times New Roman" w:hAnsi="Times New Roman" w:cs="Times New Roman"/>
        </w:rPr>
        <w:t xml:space="preserve"> </w:t>
      </w:r>
      <w:r>
        <w:rPr>
          <w:rFonts w:ascii="Times New Roman" w:hAnsi="Times New Roman" w:cs="Times New Roman"/>
        </w:rPr>
        <w:t>and</w:t>
      </w:r>
      <w:r w:rsidRPr="00807F00">
        <w:rPr>
          <w:rFonts w:ascii="Times New Roman" w:hAnsi="Times New Roman" w:cs="Times New Roman"/>
        </w:rPr>
        <w:t xml:space="preserve"> Miles F.</w:t>
      </w:r>
      <w:r>
        <w:rPr>
          <w:rFonts w:ascii="Times New Roman" w:hAnsi="Times New Roman" w:cs="Times New Roman"/>
        </w:rPr>
        <w:t xml:space="preserve"> </w:t>
      </w:r>
      <w:r w:rsidRPr="00807F00">
        <w:rPr>
          <w:rFonts w:ascii="Times New Roman" w:hAnsi="Times New Roman" w:cs="Times New Roman"/>
        </w:rPr>
        <w:t xml:space="preserve">Shore, </w:t>
      </w:r>
      <w:r w:rsidRPr="000B7485">
        <w:rPr>
          <w:rFonts w:ascii="Times New Roman" w:hAnsi="Times New Roman" w:cs="Times New Roman"/>
          <w:i/>
        </w:rPr>
        <w:t>The Founder: Cecil Rhodes and the Pursuit of Power</w:t>
      </w:r>
      <w:r w:rsidRPr="00807F00">
        <w:rPr>
          <w:rFonts w:ascii="Times New Roman" w:hAnsi="Times New Roman" w:cs="Times New Roman"/>
        </w:rPr>
        <w:t xml:space="preserve"> (New York and Oxford: Oxford University Press, 1988), 664. </w:t>
      </w:r>
    </w:p>
    <w:p w14:paraId="125E63D9" w14:textId="77777777" w:rsidR="005D4920" w:rsidRDefault="005D4920" w:rsidP="005D4920">
      <w:pPr>
        <w:pStyle w:val="EndnoteText"/>
        <w:spacing w:line="480" w:lineRule="auto"/>
        <w:jc w:val="both"/>
        <w:rPr>
          <w:rFonts w:ascii="Times New Roman" w:hAnsi="Times New Roman" w:cs="Times New Roman"/>
          <w:sz w:val="24"/>
          <w:szCs w:val="24"/>
        </w:rPr>
      </w:pPr>
    </w:p>
    <w:p w14:paraId="4A2936A7" w14:textId="77777777" w:rsidR="005D4920" w:rsidRPr="00924CB3" w:rsidRDefault="005D4920" w:rsidP="005D4920">
      <w:pPr>
        <w:pStyle w:val="EndnoteText"/>
        <w:spacing w:line="480" w:lineRule="auto"/>
        <w:jc w:val="both"/>
        <w:rPr>
          <w:rFonts w:ascii="Times New Roman" w:hAnsi="Times New Roman" w:cs="Times New Roman"/>
          <w:sz w:val="24"/>
          <w:szCs w:val="24"/>
          <w:lang w:val="en-US"/>
        </w:rPr>
      </w:pPr>
      <w:r w:rsidRPr="00924CB3">
        <w:rPr>
          <w:rFonts w:ascii="Times New Roman" w:hAnsi="Times New Roman" w:cs="Times New Roman"/>
          <w:sz w:val="24"/>
          <w:szCs w:val="24"/>
        </w:rPr>
        <w:t>Schaeper</w:t>
      </w:r>
      <w:r w:rsidRPr="00807F00">
        <w:rPr>
          <w:rFonts w:ascii="Times New Roman" w:hAnsi="Times New Roman" w:cs="Times New Roman"/>
          <w:sz w:val="24"/>
          <w:szCs w:val="24"/>
        </w:rPr>
        <w:t xml:space="preserve"> Thomas J. </w:t>
      </w:r>
      <w:r>
        <w:rPr>
          <w:rFonts w:ascii="Times New Roman" w:hAnsi="Times New Roman" w:cs="Times New Roman"/>
          <w:sz w:val="24"/>
          <w:szCs w:val="24"/>
        </w:rPr>
        <w:t>&amp;</w:t>
      </w:r>
      <w:r w:rsidRPr="00924CB3">
        <w:rPr>
          <w:rFonts w:ascii="Times New Roman" w:hAnsi="Times New Roman" w:cs="Times New Roman"/>
          <w:sz w:val="24"/>
          <w:szCs w:val="24"/>
        </w:rPr>
        <w:t xml:space="preserve"> Kathleen Schaeper</w:t>
      </w:r>
      <w:r w:rsidRPr="00807F00">
        <w:rPr>
          <w:rFonts w:ascii="Times New Roman" w:hAnsi="Times New Roman" w:cs="Times New Roman"/>
          <w:sz w:val="24"/>
          <w:szCs w:val="24"/>
        </w:rPr>
        <w:t xml:space="preserve">, </w:t>
      </w:r>
      <w:r w:rsidRPr="00432467">
        <w:rPr>
          <w:rFonts w:ascii="Times New Roman" w:hAnsi="Times New Roman" w:cs="Times New Roman"/>
          <w:i/>
          <w:sz w:val="24"/>
          <w:szCs w:val="24"/>
        </w:rPr>
        <w:t>Cowboys into Gentlemen: Rhodes Scholars, Oxford, and the Creation of the American Elite</w:t>
      </w:r>
      <w:r w:rsidRPr="00807F00">
        <w:rPr>
          <w:rFonts w:ascii="Times New Roman" w:hAnsi="Times New Roman" w:cs="Times New Roman"/>
          <w:sz w:val="24"/>
          <w:szCs w:val="24"/>
        </w:rPr>
        <w:t xml:space="preserve"> (USA: Berghahn Books, 1998), 277-279.</w:t>
      </w:r>
    </w:p>
    <w:p w14:paraId="2A226EB3" w14:textId="77777777" w:rsidR="005D4920" w:rsidRDefault="005D4920" w:rsidP="005D4920">
      <w:pPr>
        <w:pStyle w:val="EndnoteText"/>
        <w:spacing w:line="480" w:lineRule="auto"/>
        <w:jc w:val="both"/>
        <w:rPr>
          <w:rFonts w:ascii="Times New Roman" w:hAnsi="Times New Roman" w:cs="Times New Roman"/>
          <w:sz w:val="24"/>
          <w:szCs w:val="24"/>
        </w:rPr>
      </w:pPr>
    </w:p>
    <w:p w14:paraId="05FD8E31" w14:textId="77777777" w:rsidR="005D4920" w:rsidRDefault="005D4920" w:rsidP="005D4920">
      <w:pPr>
        <w:pStyle w:val="EndnoteText"/>
        <w:spacing w:line="480" w:lineRule="auto"/>
        <w:jc w:val="both"/>
        <w:rPr>
          <w:rFonts w:ascii="Times New Roman" w:hAnsi="Times New Roman" w:cs="Times New Roman"/>
          <w:sz w:val="24"/>
          <w:szCs w:val="24"/>
        </w:rPr>
      </w:pPr>
      <w:r w:rsidRPr="00807F00">
        <w:rPr>
          <w:rFonts w:ascii="Times New Roman" w:hAnsi="Times New Roman" w:cs="Times New Roman"/>
          <w:sz w:val="24"/>
          <w:szCs w:val="24"/>
        </w:rPr>
        <w:t>“</w:t>
      </w:r>
      <w:r w:rsidRPr="00924CB3">
        <w:rPr>
          <w:rFonts w:ascii="Times New Roman" w:hAnsi="Times New Roman" w:cs="Times New Roman"/>
          <w:sz w:val="24"/>
          <w:szCs w:val="24"/>
        </w:rPr>
        <w:t>The Rhodes Scholarships for Ch</w:t>
      </w:r>
      <w:r w:rsidRPr="00807F00">
        <w:rPr>
          <w:rFonts w:ascii="Times New Roman" w:hAnsi="Times New Roman" w:cs="Times New Roman"/>
          <w:sz w:val="24"/>
          <w:szCs w:val="24"/>
        </w:rPr>
        <w:t>ina,”</w:t>
      </w:r>
      <w:r w:rsidRPr="00097555">
        <w:rPr>
          <w:rFonts w:ascii="Times New Roman" w:hAnsi="Times New Roman" w:cs="Times New Roman"/>
          <w:sz w:val="24"/>
          <w:szCs w:val="24"/>
        </w:rPr>
        <w:t xml:space="preserve"> </w:t>
      </w:r>
      <w:r w:rsidRPr="00432467">
        <w:rPr>
          <w:rFonts w:ascii="Times New Roman" w:hAnsi="Times New Roman" w:cs="Times New Roman"/>
          <w:sz w:val="24"/>
          <w:szCs w:val="24"/>
        </w:rPr>
        <w:t>The Rhodes Trust,</w:t>
      </w:r>
      <w:r w:rsidRPr="00F451B1">
        <w:rPr>
          <w:rFonts w:ascii="Times New Roman" w:hAnsi="Times New Roman" w:cs="Times New Roman"/>
          <w:sz w:val="24"/>
          <w:szCs w:val="24"/>
        </w:rPr>
        <w:t xml:space="preserve"> </w:t>
      </w:r>
      <w:hyperlink r:id="rId11" w:history="1">
        <w:r w:rsidRPr="00924CB3">
          <w:rPr>
            <w:rFonts w:ascii="Times New Roman" w:hAnsi="Times New Roman" w:cs="Times New Roman"/>
            <w:sz w:val="24"/>
            <w:szCs w:val="24"/>
          </w:rPr>
          <w:t>http://www.rhodeshouse.ox.ac.uk/china</w:t>
        </w:r>
      </w:hyperlink>
      <w:r>
        <w:rPr>
          <w:rFonts w:ascii="Times New Roman" w:hAnsi="Times New Roman" w:cs="Times New Roman"/>
          <w:sz w:val="24"/>
          <w:szCs w:val="24"/>
        </w:rPr>
        <w:t xml:space="preserve">, accessed </w:t>
      </w:r>
      <w:r w:rsidRPr="00F56A99">
        <w:rPr>
          <w:rFonts w:ascii="Times New Roman" w:hAnsi="Times New Roman" w:cs="Times New Roman"/>
          <w:sz w:val="24"/>
          <w:szCs w:val="24"/>
        </w:rPr>
        <w:t xml:space="preserve">1 </w:t>
      </w:r>
      <w:r w:rsidRPr="00807F00">
        <w:rPr>
          <w:rFonts w:ascii="Times New Roman" w:hAnsi="Times New Roman" w:cs="Times New Roman"/>
          <w:sz w:val="24"/>
          <w:szCs w:val="24"/>
        </w:rPr>
        <w:t>February 2016</w:t>
      </w:r>
      <w:r>
        <w:rPr>
          <w:rFonts w:ascii="Times New Roman" w:hAnsi="Times New Roman" w:cs="Times New Roman"/>
          <w:sz w:val="24"/>
          <w:szCs w:val="24"/>
        </w:rPr>
        <w:t>.</w:t>
      </w:r>
    </w:p>
    <w:p w14:paraId="6B449403" w14:textId="77777777" w:rsidR="005D4920" w:rsidRDefault="005D4920" w:rsidP="005D4920">
      <w:pPr>
        <w:pStyle w:val="EndnoteText"/>
        <w:spacing w:line="480" w:lineRule="auto"/>
        <w:jc w:val="both"/>
        <w:rPr>
          <w:rFonts w:ascii="Times New Roman" w:hAnsi="Times New Roman" w:cs="Times New Roman"/>
          <w:sz w:val="24"/>
          <w:szCs w:val="24"/>
        </w:rPr>
      </w:pPr>
    </w:p>
    <w:p w14:paraId="40EF295B" w14:textId="77777777" w:rsidR="005D4920" w:rsidRPr="004C4F8C" w:rsidRDefault="005D4920" w:rsidP="005D4920">
      <w:pPr>
        <w:pStyle w:val="EndnoteText"/>
        <w:spacing w:line="480" w:lineRule="auto"/>
        <w:jc w:val="both"/>
        <w:rPr>
          <w:rFonts w:ascii="Times New Roman" w:hAnsi="Times New Roman" w:cs="Times New Roman"/>
          <w:sz w:val="24"/>
          <w:szCs w:val="24"/>
          <w:lang w:val="en-US"/>
        </w:rPr>
      </w:pPr>
      <w:r w:rsidRPr="004C4F8C">
        <w:rPr>
          <w:rFonts w:ascii="Times New Roman" w:hAnsi="Times New Roman" w:cs="Times New Roman"/>
          <w:sz w:val="24"/>
          <w:szCs w:val="24"/>
        </w:rPr>
        <w:t>Thelen</w:t>
      </w:r>
      <w:r w:rsidRPr="004C4F8C">
        <w:rPr>
          <w:rFonts w:ascii="Times New Roman" w:hAnsi="Times New Roman" w:cs="Times New Roman"/>
          <w:sz w:val="24"/>
          <w:szCs w:val="24"/>
          <w:lang w:val="en-US"/>
        </w:rPr>
        <w:t xml:space="preserve"> Kathleen </w:t>
      </w:r>
      <w:r w:rsidRPr="004C4F8C">
        <w:rPr>
          <w:rFonts w:ascii="Times New Roman" w:hAnsi="Times New Roman" w:cs="Times New Roman"/>
          <w:sz w:val="24"/>
          <w:szCs w:val="24"/>
        </w:rPr>
        <w:t xml:space="preserve">and Sven Steinmo, “Historical institutionalism in comparative politics,” in </w:t>
      </w:r>
      <w:r w:rsidRPr="004C4F8C">
        <w:rPr>
          <w:rFonts w:ascii="Times New Roman" w:hAnsi="Times New Roman" w:cs="Times New Roman"/>
          <w:i/>
          <w:sz w:val="24"/>
          <w:szCs w:val="24"/>
        </w:rPr>
        <w:t>Structuring Politics: Historical Institutionalism in Comparative Analysis</w:t>
      </w:r>
      <w:r w:rsidRPr="004C4F8C">
        <w:rPr>
          <w:rFonts w:ascii="Times New Roman" w:hAnsi="Times New Roman" w:cs="Times New Roman"/>
          <w:sz w:val="24"/>
          <w:szCs w:val="24"/>
        </w:rPr>
        <w:t>, ed. Sven</w:t>
      </w:r>
      <w:r>
        <w:rPr>
          <w:rFonts w:ascii="Times New Roman" w:hAnsi="Times New Roman" w:cs="Times New Roman"/>
          <w:sz w:val="24"/>
          <w:szCs w:val="24"/>
        </w:rPr>
        <w:t xml:space="preserve"> </w:t>
      </w:r>
      <w:r w:rsidRPr="004C4F8C">
        <w:rPr>
          <w:rFonts w:ascii="Times New Roman" w:hAnsi="Times New Roman" w:cs="Times New Roman"/>
          <w:sz w:val="24"/>
          <w:szCs w:val="24"/>
        </w:rPr>
        <w:t>Steinmo, Kathleen Thelen, and Frank Longstreth (Cambridge: Cambridge University Press, 1992), 1-32.</w:t>
      </w:r>
    </w:p>
    <w:p w14:paraId="3212620C" w14:textId="77777777" w:rsidR="005D4920" w:rsidRDefault="005D4920" w:rsidP="005D4920">
      <w:pPr>
        <w:spacing w:line="480" w:lineRule="auto"/>
        <w:jc w:val="both"/>
        <w:rPr>
          <w:rFonts w:ascii="Times New Roman" w:hAnsi="Times New Roman" w:cs="Times New Roman"/>
        </w:rPr>
      </w:pPr>
    </w:p>
    <w:p w14:paraId="064845F9"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Wildavsky Ben, “The Great Brain Race: Rise of the Global Education Marketplace,” lecture at the London School </w:t>
      </w:r>
      <w:r>
        <w:rPr>
          <w:rFonts w:ascii="Times New Roman" w:hAnsi="Times New Roman" w:cs="Times New Roman"/>
        </w:rPr>
        <w:t xml:space="preserve">of Economics, 21 October 2010, </w:t>
      </w:r>
      <w:hyperlink r:id="rId12" w:history="1">
        <w:r w:rsidRPr="00924CB3">
          <w:rPr>
            <w:rFonts w:ascii="Times New Roman" w:hAnsi="Times New Roman" w:cs="Times New Roman"/>
          </w:rPr>
          <w:t>http://itunes.apple.com/podcast/london-school-economics-public/id279428154</w:t>
        </w:r>
      </w:hyperlink>
      <w:r>
        <w:rPr>
          <w:rFonts w:ascii="Times New Roman" w:hAnsi="Times New Roman" w:cs="Times New Roman"/>
        </w:rPr>
        <w:t xml:space="preserve">, accessed </w:t>
      </w:r>
      <w:r w:rsidRPr="00807F00">
        <w:rPr>
          <w:rFonts w:ascii="Times New Roman" w:hAnsi="Times New Roman" w:cs="Times New Roman"/>
        </w:rPr>
        <w:t>1 February 2016</w:t>
      </w:r>
      <w:r>
        <w:rPr>
          <w:rFonts w:ascii="Times New Roman" w:hAnsi="Times New Roman" w:cs="Times New Roman"/>
        </w:rPr>
        <w:t>.</w:t>
      </w:r>
    </w:p>
    <w:p w14:paraId="1DB10C3E" w14:textId="77777777" w:rsidR="005D4920" w:rsidRDefault="005D4920" w:rsidP="005D4920">
      <w:pPr>
        <w:pStyle w:val="EndnoteText"/>
        <w:spacing w:line="480" w:lineRule="auto"/>
        <w:jc w:val="both"/>
        <w:rPr>
          <w:rFonts w:ascii="Times New Roman" w:hAnsi="Times New Roman" w:cs="Times New Roman"/>
          <w:sz w:val="24"/>
          <w:szCs w:val="24"/>
        </w:rPr>
      </w:pPr>
    </w:p>
    <w:p w14:paraId="2C2F7580" w14:textId="77777777" w:rsidR="005D4920" w:rsidRPr="00924CB3" w:rsidRDefault="005D4920" w:rsidP="005D4920">
      <w:pPr>
        <w:pStyle w:val="EndnoteText"/>
        <w:spacing w:line="480" w:lineRule="auto"/>
        <w:jc w:val="both"/>
        <w:rPr>
          <w:rFonts w:ascii="Times New Roman" w:hAnsi="Times New Roman" w:cs="Times New Roman"/>
          <w:sz w:val="24"/>
          <w:szCs w:val="24"/>
          <w:lang w:val="en-US"/>
        </w:rPr>
      </w:pPr>
      <w:r w:rsidRPr="00807F00">
        <w:rPr>
          <w:rFonts w:ascii="Times New Roman" w:hAnsi="Times New Roman" w:cs="Times New Roman"/>
          <w:sz w:val="24"/>
          <w:szCs w:val="24"/>
        </w:rPr>
        <w:lastRenderedPageBreak/>
        <w:t xml:space="preserve">“Will and Codicils of the Rt. Hon. Cecil John Rhodes,” </w:t>
      </w:r>
      <w:r w:rsidRPr="00474A08">
        <w:rPr>
          <w:rFonts w:ascii="Times New Roman" w:hAnsi="Times New Roman" w:cs="Times New Roman"/>
          <w:sz w:val="24"/>
          <w:szCs w:val="24"/>
        </w:rPr>
        <w:t>The Rhodes Trust</w:t>
      </w:r>
      <w:r>
        <w:rPr>
          <w:rFonts w:ascii="Times New Roman" w:hAnsi="Times New Roman" w:cs="Times New Roman"/>
          <w:sz w:val="24"/>
          <w:szCs w:val="24"/>
        </w:rPr>
        <w:t xml:space="preserve">, </w:t>
      </w:r>
      <w:hyperlink r:id="rId13" w:history="1">
        <w:r w:rsidRPr="00807F00">
          <w:rPr>
            <w:rFonts w:ascii="Times New Roman" w:hAnsi="Times New Roman" w:cs="Times New Roman"/>
            <w:sz w:val="24"/>
            <w:szCs w:val="24"/>
          </w:rPr>
          <w:t>http://files.rhodesscholarshiptrust.com/governancedocs/WillandCodicils.pdf</w:t>
        </w:r>
      </w:hyperlink>
      <w:r w:rsidRPr="00807F00">
        <w:rPr>
          <w:rFonts w:ascii="Times New Roman" w:hAnsi="Times New Roman" w:cs="Times New Roman"/>
          <w:sz w:val="24"/>
          <w:szCs w:val="24"/>
        </w:rPr>
        <w:t>, 15</w:t>
      </w:r>
      <w:r>
        <w:rPr>
          <w:rFonts w:ascii="Times New Roman" w:hAnsi="Times New Roman" w:cs="Times New Roman"/>
          <w:sz w:val="24"/>
          <w:szCs w:val="24"/>
        </w:rPr>
        <w:t xml:space="preserve">, </w:t>
      </w:r>
      <w:r w:rsidRPr="00F7180B">
        <w:rPr>
          <w:rFonts w:ascii="Times New Roman" w:hAnsi="Times New Roman" w:cs="Times New Roman"/>
          <w:sz w:val="24"/>
          <w:szCs w:val="24"/>
        </w:rPr>
        <w:t>accessed 1 February 2016.</w:t>
      </w:r>
    </w:p>
    <w:p w14:paraId="33BB7436" w14:textId="77777777" w:rsidR="005D4920" w:rsidRDefault="005D4920" w:rsidP="005D4920">
      <w:pPr>
        <w:spacing w:line="480" w:lineRule="auto"/>
      </w:pPr>
    </w:p>
    <w:p w14:paraId="396604BF" w14:textId="77777777" w:rsidR="005D4920" w:rsidRPr="00924CB3" w:rsidRDefault="005D4920" w:rsidP="005D4920">
      <w:pPr>
        <w:spacing w:line="480" w:lineRule="auto"/>
        <w:jc w:val="both"/>
        <w:rPr>
          <w:rFonts w:ascii="Times New Roman" w:hAnsi="Times New Roman" w:cs="Times New Roman"/>
        </w:rPr>
      </w:pPr>
      <w:r w:rsidRPr="00807F00">
        <w:rPr>
          <w:rFonts w:ascii="Times New Roman" w:hAnsi="Times New Roman" w:cs="Times New Roman"/>
        </w:rPr>
        <w:t xml:space="preserve">Zeigler Philip, </w:t>
      </w:r>
      <w:r w:rsidRPr="009C1031">
        <w:rPr>
          <w:rFonts w:ascii="Times New Roman" w:hAnsi="Times New Roman" w:cs="Times New Roman"/>
          <w:i/>
        </w:rPr>
        <w:t>Legacy: Cecil Rhodes, the Rhodes Trust, and the Rhodes Scholarships</w:t>
      </w:r>
      <w:r w:rsidRPr="00807F00">
        <w:rPr>
          <w:rFonts w:ascii="Times New Roman" w:hAnsi="Times New Roman" w:cs="Times New Roman"/>
        </w:rPr>
        <w:t xml:space="preserve"> (</w:t>
      </w:r>
      <w:r w:rsidRPr="00097555">
        <w:rPr>
          <w:rFonts w:ascii="Times New Roman" w:hAnsi="Times New Roman" w:cs="Times New Roman"/>
        </w:rPr>
        <w:t>New Haven: Yale University Press, 2008)</w:t>
      </w:r>
      <w:r>
        <w:rPr>
          <w:rFonts w:ascii="Times New Roman" w:hAnsi="Times New Roman" w:cs="Times New Roman"/>
        </w:rPr>
        <w:t>,</w:t>
      </w:r>
      <w:r w:rsidRPr="00F451B1">
        <w:rPr>
          <w:rFonts w:ascii="Times New Roman" w:hAnsi="Times New Roman" w:cs="Times New Roman"/>
        </w:rPr>
        <w:t xml:space="preserve"> </w:t>
      </w:r>
      <w:r w:rsidRPr="00F56A99">
        <w:rPr>
          <w:rFonts w:ascii="Times New Roman" w:hAnsi="Times New Roman" w:cs="Times New Roman"/>
        </w:rPr>
        <w:t xml:space="preserve">Appendix </w:t>
      </w:r>
      <w:r w:rsidRPr="00924CB3">
        <w:rPr>
          <w:rFonts w:ascii="Times New Roman" w:hAnsi="Times New Roman" w:cs="Times New Roman"/>
        </w:rPr>
        <w:t>1.</w:t>
      </w:r>
      <w:r w:rsidRPr="00924CB3">
        <w:rPr>
          <w:rFonts w:ascii="Times New Roman" w:hAnsi="Times New Roman" w:cs="Times New Roman"/>
          <w:lang w:val="en-US"/>
        </w:rPr>
        <w:t xml:space="preserve"> </w:t>
      </w:r>
    </w:p>
    <w:p w14:paraId="6B600203" w14:textId="77777777" w:rsidR="003356D0" w:rsidRPr="00175C5B" w:rsidRDefault="003356D0" w:rsidP="005148DC">
      <w:pPr>
        <w:jc w:val="both"/>
        <w:rPr>
          <w:rFonts w:ascii="Times New Roman" w:hAnsi="Times New Roman" w:cs="Times New Roman"/>
        </w:rPr>
      </w:pPr>
    </w:p>
    <w:p w14:paraId="0824A4B6" w14:textId="77777777" w:rsidR="00F438C1" w:rsidRDefault="00F438C1" w:rsidP="005148DC">
      <w:pPr>
        <w:spacing w:line="480" w:lineRule="auto"/>
        <w:jc w:val="both"/>
        <w:rPr>
          <w:rFonts w:ascii="Times New Roman" w:hAnsi="Times New Roman" w:cs="Times New Roman"/>
        </w:rPr>
        <w:sectPr w:rsidR="00F438C1" w:rsidSect="001C4858">
          <w:footerReference w:type="even" r:id="rId14"/>
          <w:footerReference w:type="default" r:id="rId15"/>
          <w:endnotePr>
            <w:numFmt w:val="decimal"/>
          </w:endnotePr>
          <w:pgSz w:w="11907" w:h="16839" w:code="9"/>
          <w:pgMar w:top="1418" w:right="1418" w:bottom="1418" w:left="1418" w:header="720" w:footer="1701" w:gutter="0"/>
          <w:cols w:space="720"/>
          <w:noEndnote/>
          <w:docGrid w:linePitch="326"/>
        </w:sectPr>
      </w:pPr>
    </w:p>
    <w:p w14:paraId="36694707" w14:textId="77777777" w:rsidR="00F438C1" w:rsidRDefault="00F438C1" w:rsidP="005148DC">
      <w:pPr>
        <w:spacing w:line="480" w:lineRule="auto"/>
        <w:jc w:val="both"/>
        <w:rPr>
          <w:rFonts w:ascii="Times New Roman" w:hAnsi="Times New Roman" w:cs="Times New Roman"/>
        </w:rPr>
      </w:pPr>
    </w:p>
    <w:p w14:paraId="17482B4F" w14:textId="77777777" w:rsidR="00F438C1" w:rsidRDefault="00F438C1" w:rsidP="00F438C1">
      <w:pPr>
        <w:rPr>
          <w:rFonts w:ascii="Times New Roman" w:hAnsi="Times New Roman" w:cs="Times New Roman"/>
          <w:b/>
        </w:rPr>
      </w:pPr>
      <w:r w:rsidRPr="000E27EB">
        <w:rPr>
          <w:rFonts w:ascii="Times New Roman" w:hAnsi="Times New Roman" w:cs="Times New Roman"/>
          <w:b/>
        </w:rPr>
        <w:t>Figure 1: Election constituencies of All Rhodes Scholars, 1902-2012</w:t>
      </w:r>
      <w:r>
        <w:rPr>
          <w:rFonts w:ascii="Times New Roman" w:hAnsi="Times New Roman" w:cs="Times New Roman"/>
          <w:b/>
        </w:rPr>
        <w:t>*</w:t>
      </w:r>
    </w:p>
    <w:p w14:paraId="46B24413" w14:textId="77777777" w:rsidR="00F438C1" w:rsidRDefault="00F438C1" w:rsidP="00F438C1">
      <w:pPr>
        <w:jc w:val="both"/>
        <w:rPr>
          <w:rFonts w:ascii="Times New Roman" w:hAnsi="Times New Roman" w:cs="Times New Roman"/>
        </w:rPr>
      </w:pPr>
    </w:p>
    <w:p w14:paraId="3FEA6698" w14:textId="77777777" w:rsidR="00F438C1" w:rsidRPr="00342217" w:rsidRDefault="00F438C1" w:rsidP="00F438C1">
      <w:pPr>
        <w:jc w:val="both"/>
        <w:rPr>
          <w:rFonts w:ascii="Times New Roman" w:hAnsi="Times New Roman" w:cs="Times New Roman"/>
        </w:rPr>
      </w:pPr>
      <w:r w:rsidRPr="000D4A4B">
        <w:rPr>
          <w:rFonts w:ascii="Times New Roman" w:hAnsi="Times New Roman" w:cs="Times New Roman"/>
        </w:rPr>
        <w:t>*For a list</w:t>
      </w:r>
      <w:r>
        <w:rPr>
          <w:rFonts w:ascii="Times New Roman" w:hAnsi="Times New Roman" w:cs="Times New Roman"/>
        </w:rPr>
        <w:t xml:space="preserve"> of all scholars, please see: </w:t>
      </w:r>
      <w:hyperlink r:id="rId16" w:history="1">
        <w:r w:rsidRPr="00CE302D">
          <w:rPr>
            <w:rStyle w:val="Hyperlink"/>
            <w:rFonts w:ascii="Times New Roman" w:hAnsi="Times New Roman" w:cs="Times New Roman"/>
          </w:rPr>
          <w:t>http://www.rhodeshouse.ox.ac.uk/about/rhodes-scholars/rhodes-scholars-complete-list</w:t>
        </w:r>
      </w:hyperlink>
      <w:r>
        <w:rPr>
          <w:rFonts w:ascii="Times New Roman" w:hAnsi="Times New Roman" w:cs="Times New Roman"/>
        </w:rPr>
        <w:t xml:space="preserve"> (accessed 25 January 2016)</w:t>
      </w:r>
    </w:p>
    <w:p w14:paraId="1E6E98F5" w14:textId="2859C59F" w:rsidR="00F438C1" w:rsidRPr="00940DD7" w:rsidRDefault="007F257C" w:rsidP="00F438C1">
      <w:pPr>
        <w:rPr>
          <w:rFonts w:ascii="Times New Roman" w:hAnsi="Times New Roman" w:cs="Times New Roman"/>
        </w:rPr>
      </w:pPr>
      <w:r>
        <w:rPr>
          <w:noProof/>
          <w:lang w:val="en-US" w:eastAsia="en-US"/>
        </w:rPr>
        <w:drawing>
          <wp:anchor distT="0" distB="0" distL="114300" distR="114300" simplePos="0" relativeHeight="251662336" behindDoc="0" locked="0" layoutInCell="1" allowOverlap="1" wp14:anchorId="1B0A9810" wp14:editId="5922D900">
            <wp:simplePos x="0" y="0"/>
            <wp:positionH relativeFrom="column">
              <wp:posOffset>89535</wp:posOffset>
            </wp:positionH>
            <wp:positionV relativeFrom="paragraph">
              <wp:posOffset>129540</wp:posOffset>
            </wp:positionV>
            <wp:extent cx="8622665" cy="4645660"/>
            <wp:effectExtent l="0" t="0" r="13335" b="2794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3EEAA46" w14:textId="04710355" w:rsidR="00F438C1" w:rsidRDefault="00F438C1" w:rsidP="00F438C1"/>
    <w:p w14:paraId="46070CE8" w14:textId="77777777" w:rsidR="00F438C1" w:rsidRDefault="00F438C1" w:rsidP="00F438C1"/>
    <w:p w14:paraId="1786F314" w14:textId="77777777" w:rsidR="00F438C1" w:rsidRDefault="00F438C1" w:rsidP="00F438C1"/>
    <w:p w14:paraId="2F281517" w14:textId="77777777" w:rsidR="00F438C1" w:rsidRDefault="00F438C1" w:rsidP="00F438C1"/>
    <w:p w14:paraId="2FBDF07E" w14:textId="77777777" w:rsidR="00F438C1" w:rsidRDefault="00F438C1" w:rsidP="00F438C1"/>
    <w:p w14:paraId="24BFE326" w14:textId="77777777" w:rsidR="00F438C1" w:rsidRDefault="00F438C1" w:rsidP="00F438C1"/>
    <w:p w14:paraId="7079E651" w14:textId="364C4E04" w:rsidR="00F438C1" w:rsidRDefault="00F438C1" w:rsidP="00F438C1"/>
    <w:p w14:paraId="0F85B680" w14:textId="77777777" w:rsidR="00F438C1" w:rsidRDefault="00F438C1" w:rsidP="00F438C1">
      <w:r>
        <w:br w:type="page"/>
      </w:r>
    </w:p>
    <w:p w14:paraId="17B716C2" w14:textId="77777777" w:rsidR="00F438C1" w:rsidRPr="000E27EB" w:rsidRDefault="00F438C1" w:rsidP="00F438C1">
      <w:pPr>
        <w:rPr>
          <w:rFonts w:ascii="Times New Roman" w:hAnsi="Times New Roman" w:cs="Times New Roman"/>
          <w:b/>
        </w:rPr>
      </w:pPr>
      <w:r w:rsidRPr="000E27EB">
        <w:rPr>
          <w:rFonts w:ascii="Times New Roman" w:hAnsi="Times New Roman" w:cs="Times New Roman"/>
          <w:b/>
        </w:rPr>
        <w:lastRenderedPageBreak/>
        <w:t>Figure 2: Women Rhodes Scholars 1977-2012 (in percentage)</w:t>
      </w:r>
    </w:p>
    <w:p w14:paraId="65F0C42D" w14:textId="77777777" w:rsidR="00F438C1" w:rsidRPr="00940DD7" w:rsidRDefault="00F438C1" w:rsidP="00F438C1">
      <w:pPr>
        <w:rPr>
          <w:rFonts w:ascii="Times New Roman" w:hAnsi="Times New Roman" w:cs="Times New Roman"/>
        </w:rPr>
      </w:pPr>
    </w:p>
    <w:p w14:paraId="60A2D8EC" w14:textId="77777777" w:rsidR="00F438C1" w:rsidRDefault="00F438C1" w:rsidP="00F438C1"/>
    <w:p w14:paraId="6268C91F" w14:textId="77777777" w:rsidR="00F438C1" w:rsidRDefault="00F438C1" w:rsidP="00F438C1">
      <w:r w:rsidRPr="00342217">
        <w:rPr>
          <w:rFonts w:ascii="Times New Roman" w:hAnsi="Times New Roman" w:cs="Times New Roman"/>
          <w:b/>
          <w:noProof/>
          <w:lang w:val="en-US" w:eastAsia="en-US"/>
        </w:rPr>
        <w:drawing>
          <wp:anchor distT="0" distB="0" distL="114300" distR="114300" simplePos="0" relativeHeight="251659264" behindDoc="0" locked="0" layoutInCell="1" allowOverlap="1" wp14:anchorId="25F5517A" wp14:editId="4F436979">
            <wp:simplePos x="0" y="0"/>
            <wp:positionH relativeFrom="column">
              <wp:posOffset>-1</wp:posOffset>
            </wp:positionH>
            <wp:positionV relativeFrom="paragraph">
              <wp:posOffset>4445</wp:posOffset>
            </wp:positionV>
            <wp:extent cx="8395335" cy="4955540"/>
            <wp:effectExtent l="0" t="0" r="37465" b="2286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8F89FF9" w14:textId="77777777" w:rsidR="00F438C1" w:rsidRDefault="00F438C1" w:rsidP="00F438C1">
      <w:pPr>
        <w:rPr>
          <w:rFonts w:ascii="Times New Roman" w:hAnsi="Times New Roman" w:cs="Times New Roman"/>
          <w:b/>
        </w:rPr>
      </w:pPr>
    </w:p>
    <w:p w14:paraId="251DFB03" w14:textId="77777777" w:rsidR="00F438C1" w:rsidRDefault="00F438C1" w:rsidP="00F438C1">
      <w:pPr>
        <w:rPr>
          <w:rFonts w:ascii="Times New Roman" w:hAnsi="Times New Roman" w:cs="Times New Roman"/>
          <w:b/>
        </w:rPr>
      </w:pPr>
      <w:r>
        <w:rPr>
          <w:rFonts w:ascii="Times New Roman" w:hAnsi="Times New Roman" w:cs="Times New Roman"/>
          <w:b/>
        </w:rPr>
        <w:br w:type="page"/>
      </w:r>
    </w:p>
    <w:p w14:paraId="0A33569E" w14:textId="77777777" w:rsidR="00F438C1" w:rsidRPr="000E27EB" w:rsidRDefault="00F438C1" w:rsidP="00F438C1">
      <w:pPr>
        <w:rPr>
          <w:rFonts w:ascii="Times New Roman" w:hAnsi="Times New Roman" w:cs="Times New Roman"/>
          <w:b/>
        </w:rPr>
      </w:pPr>
      <w:r w:rsidRPr="000E27EB">
        <w:rPr>
          <w:rFonts w:ascii="Times New Roman" w:hAnsi="Times New Roman" w:cs="Times New Roman"/>
          <w:b/>
        </w:rPr>
        <w:lastRenderedPageBreak/>
        <w:t>Figure 3: Geographical Mobility of Rhodes Scholars 1913–1983 (in percentage)</w:t>
      </w:r>
    </w:p>
    <w:p w14:paraId="6E8EAB89" w14:textId="77777777" w:rsidR="00F438C1" w:rsidRPr="00940DD7" w:rsidRDefault="00F438C1" w:rsidP="00F438C1">
      <w:pPr>
        <w:rPr>
          <w:rFonts w:ascii="Times New Roman" w:hAnsi="Times New Roman" w:cs="Times New Roman"/>
        </w:rPr>
      </w:pPr>
    </w:p>
    <w:p w14:paraId="72579330" w14:textId="77777777" w:rsidR="00F438C1" w:rsidRDefault="00F438C1" w:rsidP="00F438C1">
      <w:r w:rsidRPr="00940DD7">
        <w:rPr>
          <w:rFonts w:ascii="Times New Roman" w:hAnsi="Times New Roman" w:cs="Times New Roman"/>
          <w:noProof/>
          <w:lang w:val="en-US" w:eastAsia="en-US"/>
        </w:rPr>
        <w:drawing>
          <wp:anchor distT="0" distB="0" distL="114300" distR="114300" simplePos="0" relativeHeight="251660288" behindDoc="0" locked="0" layoutInCell="1" allowOverlap="1" wp14:anchorId="6832161E" wp14:editId="6487663F">
            <wp:simplePos x="0" y="0"/>
            <wp:positionH relativeFrom="column">
              <wp:posOffset>51435</wp:posOffset>
            </wp:positionH>
            <wp:positionV relativeFrom="paragraph">
              <wp:posOffset>109220</wp:posOffset>
            </wp:positionV>
            <wp:extent cx="8052435" cy="5081905"/>
            <wp:effectExtent l="0" t="0" r="24765" b="2349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24B69259" w14:textId="77777777" w:rsidR="00F438C1" w:rsidRDefault="00F438C1" w:rsidP="00F438C1">
      <w:r>
        <w:br w:type="page"/>
      </w:r>
    </w:p>
    <w:p w14:paraId="0B192831" w14:textId="77777777" w:rsidR="00F438C1" w:rsidRDefault="00F438C1" w:rsidP="00F438C1"/>
    <w:p w14:paraId="5F279AB1" w14:textId="77777777" w:rsidR="00F438C1" w:rsidRPr="000E27EB" w:rsidRDefault="00F438C1" w:rsidP="00F438C1">
      <w:pPr>
        <w:rPr>
          <w:rFonts w:ascii="Times New Roman" w:hAnsi="Times New Roman" w:cs="Times New Roman"/>
          <w:b/>
        </w:rPr>
      </w:pPr>
      <w:r w:rsidRPr="000E27EB">
        <w:rPr>
          <w:rFonts w:ascii="Times New Roman" w:hAnsi="Times New Roman" w:cs="Times New Roman"/>
          <w:b/>
        </w:rPr>
        <w:t xml:space="preserve">Figure </w:t>
      </w:r>
      <w:r>
        <w:rPr>
          <w:rFonts w:ascii="Times New Roman" w:hAnsi="Times New Roman" w:cs="Times New Roman"/>
          <w:b/>
        </w:rPr>
        <w:t>4</w:t>
      </w:r>
      <w:r w:rsidRPr="000E27EB">
        <w:rPr>
          <w:rFonts w:ascii="Times New Roman" w:hAnsi="Times New Roman" w:cs="Times New Roman"/>
          <w:b/>
        </w:rPr>
        <w:t>: Geographical Mobility of US vs. non US Rhodes Scholars (in percentage)</w:t>
      </w:r>
    </w:p>
    <w:p w14:paraId="0D666FAA" w14:textId="77777777" w:rsidR="00F438C1" w:rsidRPr="00342217" w:rsidRDefault="00F438C1" w:rsidP="00F438C1">
      <w:pPr>
        <w:rPr>
          <w:rFonts w:ascii="Times New Roman" w:hAnsi="Times New Roman" w:cs="Times New Roman"/>
        </w:rPr>
        <w:sectPr w:rsidR="00F438C1" w:rsidRPr="00342217" w:rsidSect="00C257E1">
          <w:pgSz w:w="16840" w:h="11900" w:orient="landscape"/>
          <w:pgMar w:top="993" w:right="1440" w:bottom="1800" w:left="1440" w:header="708" w:footer="1418" w:gutter="0"/>
          <w:cols w:space="708"/>
        </w:sectPr>
      </w:pPr>
      <w:r w:rsidRPr="00940DD7">
        <w:rPr>
          <w:rFonts w:ascii="Times New Roman" w:hAnsi="Times New Roman" w:cs="Times New Roman"/>
          <w:noProof/>
          <w:lang w:val="en-US" w:eastAsia="en-US"/>
        </w:rPr>
        <w:drawing>
          <wp:anchor distT="0" distB="0" distL="114300" distR="114300" simplePos="0" relativeHeight="251661312" behindDoc="0" locked="0" layoutInCell="1" allowOverlap="1" wp14:anchorId="396A6790" wp14:editId="0DDD4777">
            <wp:simplePos x="0" y="0"/>
            <wp:positionH relativeFrom="column">
              <wp:posOffset>0</wp:posOffset>
            </wp:positionH>
            <wp:positionV relativeFrom="paragraph">
              <wp:posOffset>177800</wp:posOffset>
            </wp:positionV>
            <wp:extent cx="7696200" cy="5099050"/>
            <wp:effectExtent l="0" t="0" r="25400" b="3175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47CE5EEE" w14:textId="089DFC0C" w:rsidR="00720254" w:rsidRPr="00E76690" w:rsidRDefault="00720254" w:rsidP="00197ED8">
      <w:pPr>
        <w:spacing w:line="480" w:lineRule="auto"/>
        <w:jc w:val="both"/>
        <w:rPr>
          <w:rFonts w:ascii="Times New Roman" w:hAnsi="Times New Roman" w:cs="Times New Roman"/>
        </w:rPr>
      </w:pPr>
    </w:p>
    <w:sectPr w:rsidR="00720254" w:rsidRPr="00E76690" w:rsidSect="001C4858">
      <w:endnotePr>
        <w:numFmt w:val="decimal"/>
      </w:endnotePr>
      <w:pgSz w:w="11907" w:h="16839" w:code="9"/>
      <w:pgMar w:top="1418" w:right="1418" w:bottom="1418" w:left="1418" w:header="720" w:footer="1701"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D8B3" w14:textId="77777777" w:rsidR="005E78E7" w:rsidRDefault="005E78E7" w:rsidP="00F7448B">
      <w:r>
        <w:separator/>
      </w:r>
    </w:p>
  </w:endnote>
  <w:endnote w:type="continuationSeparator" w:id="0">
    <w:p w14:paraId="04CB473D" w14:textId="77777777" w:rsidR="005E78E7" w:rsidRDefault="005E78E7" w:rsidP="00F7448B">
      <w:r>
        <w:continuationSeparator/>
      </w:r>
    </w:p>
  </w:endnote>
  <w:endnote w:id="1">
    <w:p w14:paraId="133F00F4" w14:textId="5D38A8C4"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Philip Zeigler, </w:t>
      </w:r>
      <w:r w:rsidRPr="009C1031">
        <w:rPr>
          <w:rFonts w:ascii="Times New Roman" w:hAnsi="Times New Roman" w:cs="Times New Roman"/>
          <w:i/>
        </w:rPr>
        <w:t>Legacy: Cecil Rhodes, the Rhodes Trust, and the Rhodes Scholarships</w:t>
      </w:r>
      <w:r w:rsidRPr="00807F00">
        <w:rPr>
          <w:rFonts w:ascii="Times New Roman" w:hAnsi="Times New Roman" w:cs="Times New Roman"/>
        </w:rPr>
        <w:t xml:space="preserve"> (</w:t>
      </w:r>
      <w:r w:rsidRPr="00097555">
        <w:rPr>
          <w:rFonts w:ascii="Times New Roman" w:hAnsi="Times New Roman" w:cs="Times New Roman"/>
        </w:rPr>
        <w:t>New Haven: Yale University Press, 2008)</w:t>
      </w:r>
      <w:r>
        <w:rPr>
          <w:rFonts w:ascii="Times New Roman" w:hAnsi="Times New Roman" w:cs="Times New Roman"/>
        </w:rPr>
        <w:t>,</w:t>
      </w:r>
      <w:r w:rsidRPr="00F451B1">
        <w:rPr>
          <w:rFonts w:ascii="Times New Roman" w:hAnsi="Times New Roman" w:cs="Times New Roman"/>
        </w:rPr>
        <w:t xml:space="preserve"> </w:t>
      </w:r>
      <w:r w:rsidRPr="00F56A99">
        <w:rPr>
          <w:rFonts w:ascii="Times New Roman" w:hAnsi="Times New Roman" w:cs="Times New Roman"/>
        </w:rPr>
        <w:t xml:space="preserve">Appendix </w:t>
      </w:r>
      <w:r w:rsidRPr="00924CB3">
        <w:rPr>
          <w:rFonts w:ascii="Times New Roman" w:hAnsi="Times New Roman" w:cs="Times New Roman"/>
        </w:rPr>
        <w:t>1.</w:t>
      </w:r>
      <w:r w:rsidRPr="00924CB3">
        <w:rPr>
          <w:rFonts w:ascii="Times New Roman" w:hAnsi="Times New Roman" w:cs="Times New Roman"/>
          <w:lang w:val="en-US"/>
        </w:rPr>
        <w:t xml:space="preserve"> </w:t>
      </w:r>
    </w:p>
  </w:endnote>
  <w:endnote w:id="2">
    <w:p w14:paraId="7314550C" w14:textId="45EDCD0E" w:rsidR="001B48C2" w:rsidRPr="00924CB3" w:rsidRDefault="001B48C2" w:rsidP="00006F73">
      <w:pPr>
        <w:spacing w:line="480" w:lineRule="auto"/>
        <w:rPr>
          <w:rFonts w:ascii="Times New Roman" w:hAnsi="Times New Roman" w:cs="Times New Roman"/>
          <w:u w:val="single"/>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w:t>
      </w:r>
      <w:r w:rsidRPr="00097555">
        <w:rPr>
          <w:rFonts w:ascii="Times New Roman" w:hAnsi="Times New Roman" w:cs="Times New Roman"/>
        </w:rPr>
        <w:t>Rhodes Scholars: complete list, 1903-2014,”</w:t>
      </w:r>
      <w:r w:rsidRPr="00F451B1">
        <w:rPr>
          <w:rFonts w:ascii="Times New Roman" w:hAnsi="Times New Roman" w:cs="Times New Roman"/>
        </w:rPr>
        <w:t xml:space="preserve"> </w:t>
      </w:r>
      <w:r w:rsidRPr="00432467">
        <w:rPr>
          <w:rFonts w:ascii="Times New Roman" w:hAnsi="Times New Roman" w:cs="Times New Roman"/>
        </w:rPr>
        <w:t>The Rhodes Trust</w:t>
      </w:r>
      <w:r w:rsidRPr="009C1031">
        <w:rPr>
          <w:rFonts w:ascii="Times New Roman" w:hAnsi="Times New Roman" w:cs="Times New Roman"/>
          <w:i/>
        </w:rPr>
        <w:t>,</w:t>
      </w:r>
      <w:r w:rsidRPr="00924CB3">
        <w:rPr>
          <w:rFonts w:ascii="Times New Roman" w:hAnsi="Times New Roman" w:cs="Times New Roman"/>
          <w:u w:val="single"/>
        </w:rPr>
        <w:t xml:space="preserve"> </w:t>
      </w:r>
      <w:hyperlink r:id="rId1" w:history="1">
        <w:r w:rsidRPr="00924CB3">
          <w:rPr>
            <w:rFonts w:ascii="Times New Roman" w:hAnsi="Times New Roman" w:cs="Times New Roman"/>
          </w:rPr>
          <w:t>http://www.rhodeshouse.ox.ac.uk/about/rhodes-scholars/rhodes-scholars-complete-list</w:t>
        </w:r>
      </w:hyperlink>
      <w:r>
        <w:rPr>
          <w:rFonts w:ascii="Times New Roman" w:hAnsi="Times New Roman" w:cs="Times New Roman"/>
        </w:rPr>
        <w:t xml:space="preserve">, accessed </w:t>
      </w:r>
      <w:r w:rsidRPr="009C1031">
        <w:rPr>
          <w:rFonts w:ascii="Times New Roman" w:hAnsi="Times New Roman" w:cs="Times New Roman"/>
        </w:rPr>
        <w:t>1 February 2016.</w:t>
      </w:r>
    </w:p>
  </w:endnote>
  <w:endnote w:id="3">
    <w:p w14:paraId="6E0FA757" w14:textId="154DF59B"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807F00">
        <w:rPr>
          <w:rFonts w:ascii="Times New Roman" w:hAnsi="Times New Roman" w:cs="Times New Roman"/>
          <w:sz w:val="24"/>
          <w:szCs w:val="24"/>
        </w:rPr>
        <w:t>“</w:t>
      </w:r>
      <w:r w:rsidRPr="00924CB3">
        <w:rPr>
          <w:rFonts w:ascii="Times New Roman" w:hAnsi="Times New Roman" w:cs="Times New Roman"/>
          <w:sz w:val="24"/>
          <w:szCs w:val="24"/>
        </w:rPr>
        <w:t>The Rhodes Scholarships for Ch</w:t>
      </w:r>
      <w:r w:rsidRPr="00807F00">
        <w:rPr>
          <w:rFonts w:ascii="Times New Roman" w:hAnsi="Times New Roman" w:cs="Times New Roman"/>
          <w:sz w:val="24"/>
          <w:szCs w:val="24"/>
        </w:rPr>
        <w:t>ina,”</w:t>
      </w:r>
      <w:r w:rsidRPr="00097555">
        <w:rPr>
          <w:rFonts w:ascii="Times New Roman" w:hAnsi="Times New Roman" w:cs="Times New Roman"/>
          <w:sz w:val="24"/>
          <w:szCs w:val="24"/>
        </w:rPr>
        <w:t xml:space="preserve"> </w:t>
      </w:r>
      <w:r w:rsidRPr="00432467">
        <w:rPr>
          <w:rFonts w:ascii="Times New Roman" w:hAnsi="Times New Roman" w:cs="Times New Roman"/>
          <w:sz w:val="24"/>
          <w:szCs w:val="24"/>
        </w:rPr>
        <w:t>The Rhodes Trust,</w:t>
      </w:r>
      <w:r w:rsidRPr="00F451B1">
        <w:rPr>
          <w:rFonts w:ascii="Times New Roman" w:hAnsi="Times New Roman" w:cs="Times New Roman"/>
          <w:sz w:val="24"/>
          <w:szCs w:val="24"/>
        </w:rPr>
        <w:t xml:space="preserve"> </w:t>
      </w:r>
      <w:hyperlink r:id="rId2" w:history="1">
        <w:r w:rsidRPr="00924CB3">
          <w:rPr>
            <w:rFonts w:ascii="Times New Roman" w:hAnsi="Times New Roman" w:cs="Times New Roman"/>
            <w:sz w:val="24"/>
            <w:szCs w:val="24"/>
          </w:rPr>
          <w:t>http://www.rhodeshouse.ox.ac.uk/china</w:t>
        </w:r>
      </w:hyperlink>
      <w:r>
        <w:rPr>
          <w:rFonts w:ascii="Times New Roman" w:hAnsi="Times New Roman" w:cs="Times New Roman"/>
          <w:sz w:val="24"/>
          <w:szCs w:val="24"/>
        </w:rPr>
        <w:t xml:space="preserve">, accessed </w:t>
      </w:r>
      <w:r w:rsidRPr="00F56A99">
        <w:rPr>
          <w:rFonts w:ascii="Times New Roman" w:hAnsi="Times New Roman" w:cs="Times New Roman"/>
          <w:sz w:val="24"/>
          <w:szCs w:val="24"/>
        </w:rPr>
        <w:t xml:space="preserve">1 </w:t>
      </w:r>
      <w:r w:rsidRPr="00807F00">
        <w:rPr>
          <w:rFonts w:ascii="Times New Roman" w:hAnsi="Times New Roman" w:cs="Times New Roman"/>
          <w:sz w:val="24"/>
          <w:szCs w:val="24"/>
        </w:rPr>
        <w:t>February 2016</w:t>
      </w:r>
      <w:r>
        <w:rPr>
          <w:rFonts w:ascii="Times New Roman" w:hAnsi="Times New Roman" w:cs="Times New Roman"/>
          <w:sz w:val="24"/>
          <w:szCs w:val="24"/>
        </w:rPr>
        <w:t>.</w:t>
      </w:r>
    </w:p>
  </w:endnote>
  <w:endnote w:id="4">
    <w:p w14:paraId="6993A9B7" w14:textId="21ABA395"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Tamson Pietsch, </w:t>
      </w:r>
      <w:r w:rsidRPr="00097555">
        <w:rPr>
          <w:rFonts w:ascii="Times New Roman" w:hAnsi="Times New Roman" w:cs="Times New Roman"/>
        </w:rPr>
        <w:t>“Many Rhodes: Travelling Scholarships and Imp</w:t>
      </w:r>
      <w:r w:rsidRPr="00F451B1">
        <w:rPr>
          <w:rFonts w:ascii="Times New Roman" w:hAnsi="Times New Roman" w:cs="Times New Roman"/>
        </w:rPr>
        <w:t>erial C</w:t>
      </w:r>
      <w:r w:rsidRPr="00F56A99">
        <w:rPr>
          <w:rFonts w:ascii="Times New Roman" w:hAnsi="Times New Roman" w:cs="Times New Roman"/>
        </w:rPr>
        <w:t>itizenship in the British Ac</w:t>
      </w:r>
      <w:r w:rsidRPr="00924CB3">
        <w:rPr>
          <w:rFonts w:ascii="Times New Roman" w:hAnsi="Times New Roman" w:cs="Times New Roman"/>
        </w:rPr>
        <w:t xml:space="preserve">ademic World, 1880-1940,” </w:t>
      </w:r>
      <w:r w:rsidRPr="00432467">
        <w:rPr>
          <w:rFonts w:ascii="Times New Roman" w:hAnsi="Times New Roman" w:cs="Times New Roman"/>
          <w:i/>
        </w:rPr>
        <w:t>History of Education</w:t>
      </w:r>
      <w:r>
        <w:rPr>
          <w:rFonts w:ascii="Times New Roman" w:hAnsi="Times New Roman" w:cs="Times New Roman"/>
        </w:rPr>
        <w:t xml:space="preserve"> 40/6 (2011): </w:t>
      </w:r>
      <w:r w:rsidRPr="00955928">
        <w:rPr>
          <w:rFonts w:ascii="Times New Roman" w:hAnsi="Times New Roman" w:cs="Times New Roman"/>
        </w:rPr>
        <w:t>723-739</w:t>
      </w:r>
      <w:r w:rsidRPr="00924CB3">
        <w:rPr>
          <w:rFonts w:ascii="Times New Roman" w:hAnsi="Times New Roman" w:cs="Times New Roman"/>
        </w:rPr>
        <w:t xml:space="preserve"> </w:t>
      </w:r>
      <w:r>
        <w:rPr>
          <w:rFonts w:ascii="Times New Roman" w:hAnsi="Times New Roman" w:cs="Times New Roman"/>
        </w:rPr>
        <w:t>(</w:t>
      </w:r>
      <w:r w:rsidRPr="00924CB3">
        <w:rPr>
          <w:rFonts w:ascii="Times New Roman" w:hAnsi="Times New Roman" w:cs="Times New Roman"/>
        </w:rPr>
        <w:t>724</w:t>
      </w:r>
      <w:r>
        <w:rPr>
          <w:rFonts w:ascii="Times New Roman" w:hAnsi="Times New Roman" w:cs="Times New Roman"/>
        </w:rPr>
        <w:t>)</w:t>
      </w:r>
      <w:r w:rsidRPr="00924CB3">
        <w:rPr>
          <w:rFonts w:ascii="Times New Roman" w:hAnsi="Times New Roman" w:cs="Times New Roman"/>
        </w:rPr>
        <w:t>.</w:t>
      </w:r>
    </w:p>
  </w:endnote>
  <w:endnote w:id="5">
    <w:p w14:paraId="60E2CE16" w14:textId="3A838631"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807F00">
        <w:rPr>
          <w:rFonts w:ascii="Times New Roman" w:hAnsi="Times New Roman" w:cs="Times New Roman"/>
        </w:rPr>
        <w:t xml:space="preserve"> “Rhodes Trust Infographic</w:t>
      </w:r>
      <w:r w:rsidRPr="00097555">
        <w:rPr>
          <w:rFonts w:ascii="Times New Roman" w:hAnsi="Times New Roman" w:cs="Times New Roman"/>
        </w:rPr>
        <w:t xml:space="preserve">s,” </w:t>
      </w:r>
      <w:r w:rsidRPr="00432467">
        <w:rPr>
          <w:rFonts w:ascii="Times New Roman" w:hAnsi="Times New Roman" w:cs="Times New Roman"/>
        </w:rPr>
        <w:t>The Rhodes Trust</w:t>
      </w:r>
      <w:r w:rsidRPr="00F56A99">
        <w:rPr>
          <w:rFonts w:ascii="Times New Roman" w:hAnsi="Times New Roman" w:cs="Times New Roman"/>
        </w:rPr>
        <w:t>,</w:t>
      </w:r>
      <w:r>
        <w:rPr>
          <w:rFonts w:ascii="Times New Roman" w:hAnsi="Times New Roman" w:cs="Times New Roman"/>
        </w:rPr>
        <w:t xml:space="preserve"> </w:t>
      </w:r>
      <w:hyperlink r:id="rId3" w:history="1">
        <w:r w:rsidRPr="00924CB3">
          <w:rPr>
            <w:rFonts w:ascii="Times New Roman" w:hAnsi="Times New Roman" w:cs="Times New Roman"/>
          </w:rPr>
          <w:t>http://www.rhodeshouse.ox.ac.uk/infographic</w:t>
        </w:r>
      </w:hyperlink>
      <w:r w:rsidRPr="00924CB3">
        <w:rPr>
          <w:rFonts w:ascii="Times New Roman" w:hAnsi="Times New Roman" w:cs="Times New Roman"/>
        </w:rPr>
        <w:t>,</w:t>
      </w:r>
      <w:r>
        <w:rPr>
          <w:rFonts w:ascii="Times New Roman" w:hAnsi="Times New Roman" w:cs="Times New Roman"/>
        </w:rPr>
        <w:t xml:space="preserve"> accessed </w:t>
      </w:r>
      <w:r w:rsidRPr="00924CB3">
        <w:rPr>
          <w:rFonts w:ascii="Times New Roman" w:hAnsi="Times New Roman" w:cs="Times New Roman"/>
        </w:rPr>
        <w:t>1 February 2016</w:t>
      </w:r>
      <w:r>
        <w:rPr>
          <w:rFonts w:ascii="Times New Roman" w:hAnsi="Times New Roman" w:cs="Times New Roman"/>
        </w:rPr>
        <w:t>.</w:t>
      </w:r>
    </w:p>
  </w:endnote>
  <w:endnote w:id="6">
    <w:p w14:paraId="7808FE73" w14:textId="23257DAD"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807F00">
        <w:rPr>
          <w:rFonts w:ascii="Times New Roman" w:hAnsi="Times New Roman" w:cs="Times New Roman"/>
          <w:sz w:val="24"/>
          <w:szCs w:val="24"/>
        </w:rPr>
        <w:t xml:space="preserve"> Thomas J. </w:t>
      </w:r>
      <w:r w:rsidRPr="00924CB3">
        <w:rPr>
          <w:rFonts w:ascii="Times New Roman" w:hAnsi="Times New Roman" w:cs="Times New Roman"/>
          <w:sz w:val="24"/>
          <w:szCs w:val="24"/>
        </w:rPr>
        <w:t>Schaeper</w:t>
      </w:r>
      <w:r w:rsidRPr="00807F00">
        <w:rPr>
          <w:rFonts w:ascii="Times New Roman" w:hAnsi="Times New Roman" w:cs="Times New Roman"/>
          <w:sz w:val="24"/>
          <w:szCs w:val="24"/>
        </w:rPr>
        <w:t xml:space="preserve"> </w:t>
      </w:r>
      <w:r>
        <w:rPr>
          <w:rFonts w:ascii="Times New Roman" w:hAnsi="Times New Roman" w:cs="Times New Roman"/>
          <w:sz w:val="24"/>
          <w:szCs w:val="24"/>
        </w:rPr>
        <w:t>&amp;</w:t>
      </w:r>
      <w:r w:rsidRPr="00924CB3">
        <w:rPr>
          <w:rFonts w:ascii="Times New Roman" w:hAnsi="Times New Roman" w:cs="Times New Roman"/>
          <w:sz w:val="24"/>
          <w:szCs w:val="24"/>
        </w:rPr>
        <w:t xml:space="preserve"> Kathleen Schaeper</w:t>
      </w:r>
      <w:r w:rsidRPr="00807F00">
        <w:rPr>
          <w:rFonts w:ascii="Times New Roman" w:hAnsi="Times New Roman" w:cs="Times New Roman"/>
          <w:sz w:val="24"/>
          <w:szCs w:val="24"/>
        </w:rPr>
        <w:t xml:space="preserve">, </w:t>
      </w:r>
      <w:r w:rsidRPr="00432467">
        <w:rPr>
          <w:rFonts w:ascii="Times New Roman" w:hAnsi="Times New Roman" w:cs="Times New Roman"/>
          <w:i/>
          <w:sz w:val="24"/>
          <w:szCs w:val="24"/>
        </w:rPr>
        <w:t>Cowboys into Gentlemen: Rhodes Scholars, Oxford, and the Creation of the American Elite</w:t>
      </w:r>
      <w:r w:rsidRPr="00807F00">
        <w:rPr>
          <w:rFonts w:ascii="Times New Roman" w:hAnsi="Times New Roman" w:cs="Times New Roman"/>
          <w:sz w:val="24"/>
          <w:szCs w:val="24"/>
        </w:rPr>
        <w:t xml:space="preserve"> (USA: Berghahn Books, 1998), 277-279.</w:t>
      </w:r>
    </w:p>
  </w:endnote>
  <w:endnote w:id="7">
    <w:p w14:paraId="0C168787" w14:textId="489B0BE6"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Pr>
          <w:rFonts w:ascii="Times New Roman" w:hAnsi="Times New Roman" w:cs="Times New Roman"/>
          <w:sz w:val="24"/>
          <w:szCs w:val="24"/>
        </w:rPr>
        <w:t>Ralph Evans, e</w:t>
      </w:r>
      <w:r w:rsidRPr="00807F00">
        <w:rPr>
          <w:rFonts w:ascii="Times New Roman" w:hAnsi="Times New Roman" w:cs="Times New Roman"/>
          <w:sz w:val="24"/>
          <w:szCs w:val="24"/>
        </w:rPr>
        <w:t xml:space="preserve">d., </w:t>
      </w:r>
      <w:r w:rsidRPr="00432467">
        <w:rPr>
          <w:rFonts w:ascii="Times New Roman" w:hAnsi="Times New Roman" w:cs="Times New Roman"/>
          <w:i/>
          <w:sz w:val="24"/>
          <w:szCs w:val="24"/>
        </w:rPr>
        <w:t>Register of Rhodes Scholars, 1903-1998</w:t>
      </w:r>
      <w:r>
        <w:rPr>
          <w:rFonts w:ascii="Times New Roman" w:hAnsi="Times New Roman" w:cs="Times New Roman"/>
          <w:sz w:val="24"/>
          <w:szCs w:val="24"/>
        </w:rPr>
        <w:t>, 1988</w:t>
      </w:r>
      <w:r w:rsidRPr="00807F00">
        <w:rPr>
          <w:rFonts w:ascii="Times New Roman" w:hAnsi="Times New Roman" w:cs="Times New Roman"/>
          <w:sz w:val="24"/>
          <w:szCs w:val="24"/>
        </w:rPr>
        <w:t xml:space="preserve"> and 1996 </w:t>
      </w:r>
      <w:proofErr w:type="gramStart"/>
      <w:r w:rsidRPr="00807F00">
        <w:rPr>
          <w:rFonts w:ascii="Times New Roman" w:hAnsi="Times New Roman" w:cs="Times New Roman"/>
          <w:sz w:val="24"/>
          <w:szCs w:val="24"/>
        </w:rPr>
        <w:t>eds</w:t>
      </w:r>
      <w:proofErr w:type="gramEnd"/>
      <w:r w:rsidRPr="00807F00">
        <w:rPr>
          <w:rFonts w:ascii="Times New Roman" w:hAnsi="Times New Roman" w:cs="Times New Roman"/>
          <w:sz w:val="24"/>
          <w:szCs w:val="24"/>
        </w:rPr>
        <w:t xml:space="preserve">. </w:t>
      </w:r>
      <w:proofErr w:type="gramStart"/>
      <w:r w:rsidRPr="00807F00">
        <w:rPr>
          <w:rFonts w:ascii="Times New Roman" w:hAnsi="Times New Roman" w:cs="Times New Roman"/>
          <w:sz w:val="24"/>
          <w:szCs w:val="24"/>
        </w:rPr>
        <w:t>(Oxford: The Rhodes Trust, 1988 and 1996).</w:t>
      </w:r>
      <w:proofErr w:type="gramEnd"/>
    </w:p>
  </w:endnote>
  <w:endnote w:id="8">
    <w:p w14:paraId="575A025C" w14:textId="478A9115"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Robert I</w:t>
      </w:r>
      <w:r>
        <w:rPr>
          <w:rFonts w:ascii="Times New Roman" w:hAnsi="Times New Roman" w:cs="Times New Roman"/>
        </w:rPr>
        <w:t>.</w:t>
      </w:r>
      <w:r w:rsidRPr="00807F00">
        <w:rPr>
          <w:rFonts w:ascii="Times New Roman" w:hAnsi="Times New Roman" w:cs="Times New Roman"/>
        </w:rPr>
        <w:t xml:space="preserve"> Rotberg </w:t>
      </w:r>
      <w:r>
        <w:rPr>
          <w:rFonts w:ascii="Times New Roman" w:hAnsi="Times New Roman" w:cs="Times New Roman"/>
        </w:rPr>
        <w:t>and</w:t>
      </w:r>
      <w:r w:rsidRPr="00807F00">
        <w:rPr>
          <w:rFonts w:ascii="Times New Roman" w:hAnsi="Times New Roman" w:cs="Times New Roman"/>
        </w:rPr>
        <w:t xml:space="preserve"> Miles F. Shore, </w:t>
      </w:r>
      <w:r w:rsidRPr="000B7485">
        <w:rPr>
          <w:rFonts w:ascii="Times New Roman" w:hAnsi="Times New Roman" w:cs="Times New Roman"/>
          <w:i/>
        </w:rPr>
        <w:t>The Founder: Cecil Rhodes and the Pursuit of Power</w:t>
      </w:r>
      <w:r w:rsidRPr="00807F00">
        <w:rPr>
          <w:rFonts w:ascii="Times New Roman" w:hAnsi="Times New Roman" w:cs="Times New Roman"/>
        </w:rPr>
        <w:t xml:space="preserve"> (New York and Oxford: Oxford University Press, 1988), 664. </w:t>
      </w:r>
    </w:p>
  </w:endnote>
  <w:endnote w:id="9">
    <w:p w14:paraId="331965BB" w14:textId="77777777"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J. Astley Cooper, “Many Lands - One People: A Criticism and a Suggestion,” </w:t>
      </w:r>
      <w:r w:rsidRPr="000B7485">
        <w:rPr>
          <w:rFonts w:ascii="Times New Roman" w:hAnsi="Times New Roman" w:cs="Times New Roman"/>
          <w:i/>
        </w:rPr>
        <w:t>Greater Britain</w:t>
      </w:r>
      <w:r w:rsidRPr="00807F00">
        <w:rPr>
          <w:rFonts w:ascii="Times New Roman" w:hAnsi="Times New Roman" w:cs="Times New Roman"/>
        </w:rPr>
        <w:t>, 15 July 1891.</w:t>
      </w:r>
    </w:p>
  </w:endnote>
  <w:endnote w:id="10">
    <w:p w14:paraId="70607665" w14:textId="77777777"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J. Astley Cooper, “The Proposed Periodic Britannic Contest and All-English Speaking Festival,” </w:t>
      </w:r>
      <w:r w:rsidRPr="000B7485">
        <w:rPr>
          <w:rFonts w:ascii="Times New Roman" w:hAnsi="Times New Roman" w:cs="Times New Roman"/>
          <w:i/>
        </w:rPr>
        <w:t>Greater Britain</w:t>
      </w:r>
      <w:r w:rsidRPr="00807F00">
        <w:rPr>
          <w:rFonts w:ascii="Times New Roman" w:hAnsi="Times New Roman" w:cs="Times New Roman"/>
        </w:rPr>
        <w:t>, 15 November 1891.</w:t>
      </w:r>
    </w:p>
  </w:endnote>
  <w:endnote w:id="11">
    <w:p w14:paraId="3FAAFB20" w14:textId="77777777"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Thomas Hudson Beare, “Britannic Scholarships,” </w:t>
      </w:r>
      <w:r w:rsidRPr="000B7485">
        <w:rPr>
          <w:rFonts w:ascii="Times New Roman" w:hAnsi="Times New Roman" w:cs="Times New Roman"/>
          <w:i/>
        </w:rPr>
        <w:t>Greater Britain</w:t>
      </w:r>
      <w:r w:rsidRPr="00807F00">
        <w:rPr>
          <w:rFonts w:ascii="Times New Roman" w:hAnsi="Times New Roman" w:cs="Times New Roman"/>
        </w:rPr>
        <w:t>, 15 October 1892.</w:t>
      </w:r>
    </w:p>
  </w:endnote>
  <w:endnote w:id="12">
    <w:p w14:paraId="1D70CCF9" w14:textId="212DA00F"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Pr>
          <w:rFonts w:ascii="Times New Roman" w:hAnsi="Times New Roman" w:cs="Times New Roman"/>
          <w:sz w:val="24"/>
          <w:szCs w:val="24"/>
        </w:rPr>
        <w:t>Rotberg and Shore</w:t>
      </w:r>
      <w:r w:rsidRPr="00924C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B7485">
        <w:rPr>
          <w:rFonts w:ascii="Times New Roman" w:hAnsi="Times New Roman" w:cs="Times New Roman"/>
          <w:i/>
          <w:sz w:val="24"/>
          <w:szCs w:val="24"/>
          <w:lang w:val="en-US"/>
        </w:rPr>
        <w:t>Founder</w:t>
      </w:r>
      <w:r>
        <w:rPr>
          <w:rFonts w:ascii="Times New Roman" w:hAnsi="Times New Roman" w:cs="Times New Roman"/>
          <w:sz w:val="24"/>
          <w:szCs w:val="24"/>
          <w:lang w:val="en-US"/>
        </w:rPr>
        <w:t>,</w:t>
      </w:r>
      <w:r w:rsidRPr="00807F00">
        <w:rPr>
          <w:rFonts w:ascii="Times New Roman" w:hAnsi="Times New Roman" w:cs="Times New Roman"/>
          <w:sz w:val="24"/>
          <w:szCs w:val="24"/>
          <w:lang w:val="en-US"/>
        </w:rPr>
        <w:t xml:space="preserve"> </w:t>
      </w:r>
      <w:r w:rsidRPr="00924CB3">
        <w:rPr>
          <w:rFonts w:ascii="Times New Roman" w:hAnsi="Times New Roman" w:cs="Times New Roman"/>
          <w:sz w:val="24"/>
          <w:szCs w:val="24"/>
          <w:lang w:val="en-US"/>
        </w:rPr>
        <w:t>665</w:t>
      </w:r>
      <w:r w:rsidRPr="00807F00">
        <w:rPr>
          <w:rFonts w:ascii="Times New Roman" w:hAnsi="Times New Roman" w:cs="Times New Roman"/>
          <w:sz w:val="24"/>
          <w:szCs w:val="24"/>
          <w:lang w:val="en-US"/>
        </w:rPr>
        <w:t>.</w:t>
      </w:r>
    </w:p>
  </w:endnote>
  <w:endnote w:id="13">
    <w:p w14:paraId="0B7437D7" w14:textId="67CA1721"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924CB3">
        <w:rPr>
          <w:rFonts w:ascii="Times New Roman" w:hAnsi="Times New Roman" w:cs="Times New Roman"/>
          <w:sz w:val="24"/>
          <w:szCs w:val="24"/>
          <w:lang w:val="en-US"/>
        </w:rPr>
        <w:t xml:space="preserve">Pietsch, </w:t>
      </w:r>
      <w:r>
        <w:rPr>
          <w:rFonts w:ascii="Times New Roman" w:hAnsi="Times New Roman" w:cs="Times New Roman"/>
          <w:sz w:val="24"/>
          <w:szCs w:val="24"/>
          <w:lang w:val="en-US"/>
        </w:rPr>
        <w:t>“Many Rhodes,” 729-30.</w:t>
      </w:r>
    </w:p>
  </w:endnote>
  <w:endnote w:id="14">
    <w:p w14:paraId="048EDC3F" w14:textId="2ADE35A0"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Pr>
          <w:rFonts w:ascii="Times New Roman" w:hAnsi="Times New Roman" w:cs="Times New Roman"/>
        </w:rPr>
        <w:t xml:space="preserve"> </w:t>
      </w:r>
      <w:r w:rsidRPr="00807F00">
        <w:rPr>
          <w:rFonts w:ascii="Times New Roman" w:hAnsi="Times New Roman" w:cs="Times New Roman"/>
        </w:rPr>
        <w:t xml:space="preserve">Katrina Dean, “Inscribing Settler Science: Ernest Rutherford, Thomas Laby and the making of careers in physics,” </w:t>
      </w:r>
      <w:r w:rsidRPr="000B7485">
        <w:rPr>
          <w:rFonts w:ascii="Times New Roman" w:hAnsi="Times New Roman" w:cs="Times New Roman"/>
          <w:i/>
        </w:rPr>
        <w:t>History of Science</w:t>
      </w:r>
      <w:r>
        <w:rPr>
          <w:rFonts w:ascii="Times New Roman" w:hAnsi="Times New Roman" w:cs="Times New Roman"/>
        </w:rPr>
        <w:t xml:space="preserve"> 41 (2003): 217-40</w:t>
      </w:r>
      <w:r w:rsidRPr="00807F00">
        <w:rPr>
          <w:rFonts w:ascii="Times New Roman" w:hAnsi="Times New Roman" w:cs="Times New Roman"/>
        </w:rPr>
        <w:t xml:space="preserve"> </w:t>
      </w:r>
      <w:r>
        <w:rPr>
          <w:rFonts w:ascii="Times New Roman" w:hAnsi="Times New Roman" w:cs="Times New Roman"/>
        </w:rPr>
        <w:t>(</w:t>
      </w:r>
      <w:r w:rsidRPr="00807F00">
        <w:rPr>
          <w:rFonts w:ascii="Times New Roman" w:hAnsi="Times New Roman" w:cs="Times New Roman"/>
        </w:rPr>
        <w:t>222</w:t>
      </w:r>
      <w:r>
        <w:rPr>
          <w:rFonts w:ascii="Times New Roman" w:hAnsi="Times New Roman" w:cs="Times New Roman"/>
        </w:rPr>
        <w:t>)</w:t>
      </w:r>
      <w:r w:rsidRPr="00807F00">
        <w:rPr>
          <w:rFonts w:ascii="Times New Roman" w:hAnsi="Times New Roman" w:cs="Times New Roman"/>
        </w:rPr>
        <w:t>.</w:t>
      </w:r>
    </w:p>
  </w:endnote>
  <w:endnote w:id="15">
    <w:p w14:paraId="77A405A5" w14:textId="30099E37"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807F00">
        <w:rPr>
          <w:rFonts w:ascii="Times New Roman" w:hAnsi="Times New Roman" w:cs="Times New Roman"/>
          <w:sz w:val="24"/>
          <w:szCs w:val="24"/>
        </w:rPr>
        <w:t xml:space="preserve">Pietsch, </w:t>
      </w:r>
      <w:r>
        <w:rPr>
          <w:rFonts w:ascii="Times New Roman" w:hAnsi="Times New Roman" w:cs="Times New Roman"/>
          <w:sz w:val="24"/>
          <w:szCs w:val="24"/>
        </w:rPr>
        <w:t>“Many Rhodes,”</w:t>
      </w:r>
      <w:r w:rsidRPr="00807F00">
        <w:rPr>
          <w:rFonts w:ascii="Times New Roman" w:hAnsi="Times New Roman" w:cs="Times New Roman"/>
          <w:sz w:val="24"/>
          <w:szCs w:val="24"/>
        </w:rPr>
        <w:t xml:space="preserve"> </w:t>
      </w:r>
      <w:r>
        <w:rPr>
          <w:rFonts w:ascii="Times New Roman" w:hAnsi="Times New Roman" w:cs="Times New Roman"/>
          <w:sz w:val="24"/>
          <w:szCs w:val="24"/>
        </w:rPr>
        <w:t>734</w:t>
      </w:r>
      <w:r w:rsidRPr="002413D0">
        <w:rPr>
          <w:rFonts w:ascii="Times New Roman" w:hAnsi="Times New Roman" w:cs="Times New Roman"/>
          <w:sz w:val="24"/>
          <w:szCs w:val="24"/>
        </w:rPr>
        <w:t>.</w:t>
      </w:r>
    </w:p>
  </w:endnote>
  <w:endnote w:id="16">
    <w:p w14:paraId="6A7983F3" w14:textId="2C354585"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807F00">
        <w:rPr>
          <w:rFonts w:ascii="Times New Roman" w:hAnsi="Times New Roman" w:cs="Times New Roman"/>
          <w:sz w:val="24"/>
          <w:szCs w:val="24"/>
        </w:rPr>
        <w:t xml:space="preserve">“Will and Codicils of the Rt. Hon. Cecil John Rhodes,” </w:t>
      </w:r>
      <w:r w:rsidRPr="00474A08">
        <w:rPr>
          <w:rFonts w:ascii="Times New Roman" w:hAnsi="Times New Roman" w:cs="Times New Roman"/>
          <w:sz w:val="24"/>
          <w:szCs w:val="24"/>
        </w:rPr>
        <w:t>The Rhodes Trust</w:t>
      </w:r>
      <w:r>
        <w:rPr>
          <w:rFonts w:ascii="Times New Roman" w:hAnsi="Times New Roman" w:cs="Times New Roman"/>
          <w:sz w:val="24"/>
          <w:szCs w:val="24"/>
        </w:rPr>
        <w:t xml:space="preserve">, </w:t>
      </w:r>
      <w:hyperlink r:id="rId4" w:history="1">
        <w:r w:rsidRPr="00807F00">
          <w:rPr>
            <w:rFonts w:ascii="Times New Roman" w:hAnsi="Times New Roman" w:cs="Times New Roman"/>
            <w:sz w:val="24"/>
            <w:szCs w:val="24"/>
          </w:rPr>
          <w:t>http://files.rhodesscholarshiptrust.com/governancedocs/WillandCodicils.pdf</w:t>
        </w:r>
      </w:hyperlink>
      <w:r w:rsidRPr="00807F00">
        <w:rPr>
          <w:rFonts w:ascii="Times New Roman" w:hAnsi="Times New Roman" w:cs="Times New Roman"/>
          <w:sz w:val="24"/>
          <w:szCs w:val="24"/>
        </w:rPr>
        <w:t>, 15</w:t>
      </w:r>
      <w:r>
        <w:rPr>
          <w:rFonts w:ascii="Times New Roman" w:hAnsi="Times New Roman" w:cs="Times New Roman"/>
          <w:sz w:val="24"/>
          <w:szCs w:val="24"/>
        </w:rPr>
        <w:t xml:space="preserve">, </w:t>
      </w:r>
      <w:r w:rsidRPr="00F7180B">
        <w:rPr>
          <w:rFonts w:ascii="Times New Roman" w:hAnsi="Times New Roman" w:cs="Times New Roman"/>
          <w:sz w:val="24"/>
          <w:szCs w:val="24"/>
        </w:rPr>
        <w:t>accessed 1 February 2016.</w:t>
      </w:r>
    </w:p>
  </w:endnote>
  <w:endnote w:id="17">
    <w:p w14:paraId="52C7E89A" w14:textId="7BD1E475"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Ben Wildavsky, “The Great Brain Race: Rise of the Global Education Marketplace,” lecture at the London School </w:t>
      </w:r>
      <w:r>
        <w:rPr>
          <w:rFonts w:ascii="Times New Roman" w:hAnsi="Times New Roman" w:cs="Times New Roman"/>
        </w:rPr>
        <w:t xml:space="preserve">of Economics, 21 October 2010, </w:t>
      </w:r>
      <w:hyperlink r:id="rId5" w:history="1">
        <w:r w:rsidRPr="00924CB3">
          <w:rPr>
            <w:rFonts w:ascii="Times New Roman" w:hAnsi="Times New Roman" w:cs="Times New Roman"/>
          </w:rPr>
          <w:t>http://itunes.apple.com/podcast/london-school-economics-public/id279428154</w:t>
        </w:r>
      </w:hyperlink>
      <w:r>
        <w:rPr>
          <w:rFonts w:ascii="Times New Roman" w:hAnsi="Times New Roman" w:cs="Times New Roman"/>
        </w:rPr>
        <w:t xml:space="preserve">, accessed </w:t>
      </w:r>
      <w:r w:rsidRPr="00807F00">
        <w:rPr>
          <w:rFonts w:ascii="Times New Roman" w:hAnsi="Times New Roman" w:cs="Times New Roman"/>
        </w:rPr>
        <w:t>1 February 2016</w:t>
      </w:r>
      <w:r>
        <w:rPr>
          <w:rFonts w:ascii="Times New Roman" w:hAnsi="Times New Roman" w:cs="Times New Roman"/>
        </w:rPr>
        <w:t>.</w:t>
      </w:r>
    </w:p>
  </w:endnote>
  <w:endnote w:id="18">
    <w:p w14:paraId="5A33484A" w14:textId="7DB3C25E"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“Rhodes Sch</w:t>
      </w:r>
      <w:r>
        <w:rPr>
          <w:rFonts w:ascii="Times New Roman" w:hAnsi="Times New Roman" w:cs="Times New Roman"/>
          <w:sz w:val="24"/>
          <w:szCs w:val="24"/>
        </w:rPr>
        <w:t>olars: complete list, 1903-2014.</w:t>
      </w:r>
      <w:r w:rsidRPr="00924CB3">
        <w:rPr>
          <w:rFonts w:ascii="Times New Roman" w:hAnsi="Times New Roman" w:cs="Times New Roman"/>
          <w:sz w:val="24"/>
          <w:szCs w:val="24"/>
        </w:rPr>
        <w:t>”</w:t>
      </w:r>
    </w:p>
  </w:endnote>
  <w:endnote w:id="19">
    <w:p w14:paraId="7C6931BF" w14:textId="3FB6EA74"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Pr>
          <w:rFonts w:ascii="Times New Roman" w:hAnsi="Times New Roman" w:cs="Times New Roman"/>
        </w:rPr>
        <w:t>Pietsch, “Many Rhodes,” 729.</w:t>
      </w:r>
    </w:p>
  </w:endnote>
  <w:endnote w:id="20">
    <w:p w14:paraId="6AA657AF" w14:textId="321D6CEF"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proofErr w:type="gramStart"/>
      <w:r w:rsidRPr="00807F00">
        <w:rPr>
          <w:rFonts w:ascii="Times New Roman" w:hAnsi="Times New Roman" w:cs="Times New Roman"/>
          <w:sz w:val="24"/>
          <w:szCs w:val="24"/>
        </w:rPr>
        <w:t>“Will and Codicils</w:t>
      </w:r>
      <w:r>
        <w:rPr>
          <w:rFonts w:ascii="Times New Roman" w:hAnsi="Times New Roman" w:cs="Times New Roman"/>
          <w:sz w:val="24"/>
          <w:szCs w:val="24"/>
        </w:rPr>
        <w:t>,”</w:t>
      </w:r>
      <w:r w:rsidRPr="00807F00">
        <w:rPr>
          <w:rFonts w:ascii="Times New Roman" w:hAnsi="Times New Roman" w:cs="Times New Roman"/>
          <w:sz w:val="24"/>
          <w:szCs w:val="24"/>
        </w:rPr>
        <w:t xml:space="preserve"> 11.</w:t>
      </w:r>
      <w:proofErr w:type="gramEnd"/>
    </w:p>
  </w:endnote>
  <w:endnote w:id="21">
    <w:p w14:paraId="0A7EB29D" w14:textId="77777777"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807F00">
        <w:rPr>
          <w:rFonts w:ascii="Times New Roman" w:hAnsi="Times New Roman" w:cs="Times New Roman"/>
        </w:rPr>
        <w:t xml:space="preserve"> </w:t>
      </w:r>
      <w:r w:rsidRPr="00113DF3">
        <w:rPr>
          <w:rFonts w:ascii="Times New Roman" w:hAnsi="Times New Roman" w:cs="Times New Roman"/>
          <w:i/>
        </w:rPr>
        <w:t>Annual Report and Financial Statements for the Year ended 30 June 2010</w:t>
      </w:r>
      <w:r w:rsidRPr="00807F00">
        <w:rPr>
          <w:rFonts w:ascii="Times New Roman" w:hAnsi="Times New Roman" w:cs="Times New Roman"/>
        </w:rPr>
        <w:t xml:space="preserve"> (Oxford: The Rhodes Trust, 2010), 6.</w:t>
      </w:r>
    </w:p>
  </w:endnote>
  <w:endnote w:id="22">
    <w:p w14:paraId="3996E2F0" w14:textId="2F0138D3" w:rsidR="001B48C2" w:rsidRPr="00860FD0"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sidRPr="00807F00">
        <w:rPr>
          <w:rFonts w:ascii="Times New Roman" w:hAnsi="Times New Roman" w:cs="Times New Roman"/>
        </w:rPr>
        <w:t xml:space="preserve">William J. Barber, “A </w:t>
      </w:r>
      <w:r w:rsidRPr="00C446BA">
        <w:rPr>
          <w:rFonts w:ascii="Times New Roman" w:hAnsi="Times New Roman" w:cs="Times New Roman"/>
        </w:rPr>
        <w:t>Footnote to the Social History of the 1970s: The Opening of the Rhodes Scholarships to Women,”</w:t>
      </w:r>
      <w:r w:rsidRPr="00860FD0">
        <w:rPr>
          <w:rFonts w:ascii="Times New Roman" w:hAnsi="Times New Roman" w:cs="Times New Roman"/>
        </w:rPr>
        <w:t> </w:t>
      </w:r>
      <w:r w:rsidRPr="007025DC">
        <w:rPr>
          <w:rFonts w:ascii="Times New Roman" w:hAnsi="Times New Roman" w:cs="Times New Roman"/>
          <w:i/>
        </w:rPr>
        <w:t>American Oxonian </w:t>
      </w:r>
      <w:r>
        <w:rPr>
          <w:rFonts w:ascii="Times New Roman" w:hAnsi="Times New Roman" w:cs="Times New Roman"/>
        </w:rPr>
        <w:t>87/</w:t>
      </w:r>
      <w:r w:rsidRPr="00860FD0">
        <w:rPr>
          <w:rFonts w:ascii="Times New Roman" w:hAnsi="Times New Roman" w:cs="Times New Roman"/>
        </w:rPr>
        <w:t>2 (2000): 135-146.</w:t>
      </w:r>
    </w:p>
  </w:endnote>
  <w:endnote w:id="23">
    <w:p w14:paraId="6C8CE9FA" w14:textId="07EF1B3F" w:rsidR="001B48C2" w:rsidRPr="00924CB3" w:rsidRDefault="001B48C2" w:rsidP="00006F73">
      <w:pPr>
        <w:pStyle w:val="EndnoteText"/>
        <w:spacing w:line="480" w:lineRule="auto"/>
        <w:rPr>
          <w:rFonts w:ascii="Times New Roman" w:hAnsi="Times New Roman" w:cs="Times New Roman"/>
          <w:sz w:val="24"/>
          <w:szCs w:val="24"/>
          <w:lang w:val="en-US"/>
        </w:rPr>
      </w:pPr>
      <w:r w:rsidRPr="00C446BA">
        <w:rPr>
          <w:rStyle w:val="EndnoteReference"/>
          <w:rFonts w:ascii="Times New Roman" w:hAnsi="Times New Roman" w:cs="Times New Roman"/>
          <w:sz w:val="24"/>
          <w:szCs w:val="24"/>
        </w:rPr>
        <w:endnoteRef/>
      </w:r>
      <w:r w:rsidRPr="00C446BA">
        <w:rPr>
          <w:rFonts w:ascii="Times New Roman" w:hAnsi="Times New Roman" w:cs="Times New Roman"/>
          <w:sz w:val="24"/>
          <w:szCs w:val="24"/>
        </w:rPr>
        <w:t xml:space="preserve"> Tamson Pietsch</w:t>
      </w:r>
      <w:r>
        <w:rPr>
          <w:rFonts w:ascii="Times New Roman" w:hAnsi="Times New Roman" w:cs="Times New Roman"/>
          <w:sz w:val="24"/>
          <w:szCs w:val="24"/>
        </w:rPr>
        <w:t>,</w:t>
      </w:r>
      <w:r w:rsidRPr="00C446BA">
        <w:rPr>
          <w:rFonts w:ascii="Times New Roman" w:hAnsi="Times New Roman" w:cs="Times New Roman"/>
          <w:sz w:val="24"/>
          <w:szCs w:val="24"/>
        </w:rPr>
        <w:t xml:space="preserve"> </w:t>
      </w:r>
      <w:r w:rsidRPr="007025DC">
        <w:rPr>
          <w:rFonts w:ascii="Times New Roman" w:hAnsi="Times New Roman" w:cs="Times New Roman"/>
          <w:i/>
          <w:iCs/>
          <w:sz w:val="24"/>
          <w:szCs w:val="24"/>
          <w:lang w:val="en-US"/>
        </w:rPr>
        <w:t>Empire of Scholars: Universities, Networks and the British Academic World, 1850-1939</w:t>
      </w:r>
      <w:r w:rsidRPr="007025DC">
        <w:rPr>
          <w:rFonts w:ascii="Times New Roman" w:hAnsi="Times New Roman" w:cs="Times New Roman"/>
          <w:sz w:val="24"/>
          <w:szCs w:val="24"/>
          <w:lang w:val="en-US"/>
        </w:rPr>
        <w:t xml:space="preserve"> </w:t>
      </w:r>
      <w:r w:rsidRPr="00C446BA">
        <w:rPr>
          <w:rFonts w:ascii="Times New Roman" w:hAnsi="Times New Roman" w:cs="Times New Roman"/>
          <w:sz w:val="24"/>
          <w:szCs w:val="24"/>
          <w:lang w:val="en-US"/>
        </w:rPr>
        <w:t>(Manchester: Manchester University Press, 2013)</w:t>
      </w:r>
      <w:r>
        <w:rPr>
          <w:rFonts w:ascii="Times New Roman" w:hAnsi="Times New Roman" w:cs="Times New Roman"/>
          <w:sz w:val="24"/>
          <w:szCs w:val="24"/>
        </w:rPr>
        <w:t>,</w:t>
      </w:r>
      <w:r w:rsidRPr="00C446BA">
        <w:rPr>
          <w:rFonts w:ascii="Times New Roman" w:hAnsi="Times New Roman" w:cs="Times New Roman"/>
          <w:sz w:val="24"/>
          <w:szCs w:val="24"/>
        </w:rPr>
        <w:t xml:space="preserve"> 61-89.</w:t>
      </w:r>
    </w:p>
  </w:endnote>
  <w:endnote w:id="24">
    <w:p w14:paraId="74F8FF06" w14:textId="58C6F19D"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807F00">
        <w:rPr>
          <w:rFonts w:ascii="Times New Roman" w:hAnsi="Times New Roman" w:cs="Times New Roman"/>
          <w:sz w:val="24"/>
          <w:szCs w:val="24"/>
        </w:rPr>
        <w:t>“</w:t>
      </w:r>
      <w:r w:rsidRPr="00E7707D">
        <w:rPr>
          <w:rFonts w:ascii="Times New Roman" w:hAnsi="Times New Roman" w:cs="Times New Roman"/>
          <w:sz w:val="24"/>
          <w:szCs w:val="24"/>
        </w:rPr>
        <w:t>Rhodes Sch</w:t>
      </w:r>
      <w:r>
        <w:rPr>
          <w:rFonts w:ascii="Times New Roman" w:hAnsi="Times New Roman" w:cs="Times New Roman"/>
          <w:sz w:val="24"/>
          <w:szCs w:val="24"/>
        </w:rPr>
        <w:t>olars: complete list, 1903-2014.</w:t>
      </w:r>
      <w:r w:rsidRPr="00E7707D">
        <w:rPr>
          <w:rFonts w:ascii="Times New Roman" w:hAnsi="Times New Roman" w:cs="Times New Roman"/>
          <w:sz w:val="24"/>
          <w:szCs w:val="24"/>
        </w:rPr>
        <w:t>”</w:t>
      </w:r>
    </w:p>
  </w:endnote>
  <w:endnote w:id="25">
    <w:p w14:paraId="0F5C75E7" w14:textId="181D9B10" w:rsidR="001B48C2" w:rsidRPr="00924CB3"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Pr>
          <w:rFonts w:ascii="Times New Roman" w:hAnsi="Times New Roman" w:cs="Times New Roman"/>
        </w:rPr>
        <w:t>Akram Al Ariss and</w:t>
      </w:r>
      <w:r w:rsidRPr="00807F00">
        <w:rPr>
          <w:rFonts w:ascii="Times New Roman" w:hAnsi="Times New Roman" w:cs="Times New Roman"/>
        </w:rPr>
        <w:t xml:space="preserve"> Jawad Syed</w:t>
      </w:r>
      <w:r>
        <w:rPr>
          <w:rFonts w:ascii="Times New Roman" w:hAnsi="Times New Roman" w:cs="Times New Roman"/>
        </w:rPr>
        <w:t>,</w:t>
      </w:r>
      <w:r w:rsidRPr="00807F00">
        <w:rPr>
          <w:rFonts w:ascii="Times New Roman" w:hAnsi="Times New Roman" w:cs="Times New Roman"/>
        </w:rPr>
        <w:t xml:space="preserve"> </w:t>
      </w:r>
      <w:r>
        <w:rPr>
          <w:rFonts w:ascii="Times New Roman" w:hAnsi="Times New Roman" w:cs="Times New Roman"/>
        </w:rPr>
        <w:t>“</w:t>
      </w:r>
      <w:r w:rsidRPr="00807F00">
        <w:rPr>
          <w:rFonts w:ascii="Times New Roman" w:hAnsi="Times New Roman" w:cs="Times New Roman"/>
        </w:rPr>
        <w:t>Capital Mobilization of Skilled Migrants: A Relational Perspective</w:t>
      </w:r>
      <w:r>
        <w:rPr>
          <w:rFonts w:ascii="Times New Roman" w:hAnsi="Times New Roman" w:cs="Times New Roman"/>
        </w:rPr>
        <w:t>,”</w:t>
      </w:r>
      <w:r w:rsidRPr="00807F00">
        <w:rPr>
          <w:rFonts w:ascii="Times New Roman" w:hAnsi="Times New Roman" w:cs="Times New Roman"/>
        </w:rPr>
        <w:t xml:space="preserve"> </w:t>
      </w:r>
      <w:r w:rsidRPr="001B4627">
        <w:rPr>
          <w:rFonts w:ascii="Times New Roman" w:hAnsi="Times New Roman" w:cs="Times New Roman"/>
          <w:i/>
        </w:rPr>
        <w:t>British Journal of Management</w:t>
      </w:r>
      <w:r w:rsidRPr="00807F00">
        <w:rPr>
          <w:rFonts w:ascii="Times New Roman" w:hAnsi="Times New Roman" w:cs="Times New Roman"/>
        </w:rPr>
        <w:t xml:space="preserve"> 22</w:t>
      </w:r>
      <w:r>
        <w:rPr>
          <w:rFonts w:ascii="Times New Roman" w:hAnsi="Times New Roman" w:cs="Times New Roman"/>
        </w:rPr>
        <w:t xml:space="preserve"> (2011): 286-304; </w:t>
      </w:r>
      <w:r w:rsidRPr="00807F00">
        <w:rPr>
          <w:rFonts w:ascii="Times New Roman" w:hAnsi="Times New Roman" w:cs="Times New Roman"/>
        </w:rPr>
        <w:t>Stuart C</w:t>
      </w:r>
      <w:r>
        <w:rPr>
          <w:rFonts w:ascii="Times New Roman" w:hAnsi="Times New Roman" w:cs="Times New Roman"/>
        </w:rPr>
        <w:t>. Carr</w:t>
      </w:r>
      <w:r w:rsidRPr="00807F00">
        <w:rPr>
          <w:rFonts w:ascii="Times New Roman" w:hAnsi="Times New Roman" w:cs="Times New Roman"/>
        </w:rPr>
        <w:t xml:space="preserve">, </w:t>
      </w:r>
      <w:r>
        <w:rPr>
          <w:rFonts w:ascii="Times New Roman" w:hAnsi="Times New Roman" w:cs="Times New Roman"/>
        </w:rPr>
        <w:t>Kerr Inkson and</w:t>
      </w:r>
      <w:r w:rsidRPr="00807F00">
        <w:rPr>
          <w:rFonts w:ascii="Times New Roman" w:hAnsi="Times New Roman" w:cs="Times New Roman"/>
        </w:rPr>
        <w:t xml:space="preserve"> Kaye Thorn</w:t>
      </w:r>
      <w:r>
        <w:rPr>
          <w:rFonts w:ascii="Times New Roman" w:hAnsi="Times New Roman" w:cs="Times New Roman"/>
        </w:rPr>
        <w:t>, “</w:t>
      </w:r>
      <w:r w:rsidRPr="00807F00">
        <w:rPr>
          <w:rFonts w:ascii="Times New Roman" w:hAnsi="Times New Roman" w:cs="Times New Roman"/>
        </w:rPr>
        <w:t>From global careers to talent flow: Reinterpret</w:t>
      </w:r>
      <w:r>
        <w:rPr>
          <w:rFonts w:ascii="Times New Roman" w:hAnsi="Times New Roman" w:cs="Times New Roman"/>
        </w:rPr>
        <w:t>ing ‘brain drain,</w:t>
      </w:r>
      <w:r w:rsidRPr="00807F00">
        <w:rPr>
          <w:rFonts w:ascii="Times New Roman" w:hAnsi="Times New Roman" w:cs="Times New Roman"/>
        </w:rPr>
        <w:t>’</w:t>
      </w:r>
      <w:r>
        <w:rPr>
          <w:rFonts w:ascii="Times New Roman" w:hAnsi="Times New Roman" w:cs="Times New Roman"/>
        </w:rPr>
        <w:t>”</w:t>
      </w:r>
      <w:r w:rsidRPr="00807F00">
        <w:rPr>
          <w:rFonts w:ascii="Times New Roman" w:hAnsi="Times New Roman" w:cs="Times New Roman"/>
        </w:rPr>
        <w:t xml:space="preserve"> </w:t>
      </w:r>
      <w:r w:rsidRPr="001B4627">
        <w:rPr>
          <w:rFonts w:ascii="Times New Roman" w:hAnsi="Times New Roman" w:cs="Times New Roman"/>
          <w:i/>
        </w:rPr>
        <w:t xml:space="preserve">Journal of World Businesses </w:t>
      </w:r>
      <w:r w:rsidRPr="00807F00">
        <w:rPr>
          <w:rFonts w:ascii="Times New Roman" w:hAnsi="Times New Roman" w:cs="Times New Roman"/>
        </w:rPr>
        <w:t>40</w:t>
      </w:r>
      <w:r>
        <w:rPr>
          <w:rFonts w:ascii="Times New Roman" w:hAnsi="Times New Roman" w:cs="Times New Roman"/>
        </w:rPr>
        <w:t xml:space="preserve"> (2005): 386-398; Heike </w:t>
      </w:r>
      <w:r w:rsidRPr="00807F00">
        <w:rPr>
          <w:rFonts w:ascii="Times New Roman" w:hAnsi="Times New Roman" w:cs="Times New Roman"/>
        </w:rPr>
        <w:t xml:space="preserve">Jöns, </w:t>
      </w:r>
      <w:r>
        <w:rPr>
          <w:rFonts w:ascii="Times New Roman" w:hAnsi="Times New Roman" w:cs="Times New Roman"/>
        </w:rPr>
        <w:t>“‘Brain circulation’</w:t>
      </w:r>
      <w:r w:rsidRPr="00807F00">
        <w:rPr>
          <w:rFonts w:ascii="Times New Roman" w:hAnsi="Times New Roman" w:cs="Times New Roman"/>
        </w:rPr>
        <w:t xml:space="preserve"> and transnational knowledge networks: studying long-term effects of academic mobility to Germany, 1954-2000</w:t>
      </w:r>
      <w:r>
        <w:rPr>
          <w:rFonts w:ascii="Times New Roman" w:hAnsi="Times New Roman" w:cs="Times New Roman"/>
        </w:rPr>
        <w:t>,”</w:t>
      </w:r>
      <w:r w:rsidRPr="00807F00">
        <w:rPr>
          <w:rFonts w:ascii="Times New Roman" w:hAnsi="Times New Roman" w:cs="Times New Roman"/>
        </w:rPr>
        <w:t xml:space="preserve"> </w:t>
      </w:r>
      <w:r w:rsidRPr="00E27583">
        <w:rPr>
          <w:rFonts w:ascii="Times New Roman" w:hAnsi="Times New Roman" w:cs="Times New Roman"/>
          <w:i/>
        </w:rPr>
        <w:t>Global Networks</w:t>
      </w:r>
      <w:r w:rsidRPr="00300062">
        <w:rPr>
          <w:rFonts w:ascii="Times New Roman" w:hAnsi="Times New Roman" w:cs="Times New Roman"/>
        </w:rPr>
        <w:t xml:space="preserve"> 9</w:t>
      </w:r>
      <w:r>
        <w:rPr>
          <w:rFonts w:ascii="Times New Roman" w:hAnsi="Times New Roman" w:cs="Times New Roman"/>
        </w:rPr>
        <w:t>/</w:t>
      </w:r>
      <w:r w:rsidRPr="00300062">
        <w:rPr>
          <w:rFonts w:ascii="Times New Roman" w:hAnsi="Times New Roman" w:cs="Times New Roman"/>
        </w:rPr>
        <w:t>3</w:t>
      </w:r>
      <w:r>
        <w:rPr>
          <w:rFonts w:ascii="Times New Roman" w:hAnsi="Times New Roman" w:cs="Times New Roman"/>
        </w:rPr>
        <w:t xml:space="preserve"> (2009</w:t>
      </w:r>
      <w:r w:rsidRPr="00300062">
        <w:rPr>
          <w:rFonts w:ascii="Times New Roman" w:hAnsi="Times New Roman" w:cs="Times New Roman"/>
        </w:rPr>
        <w:t xml:space="preserve">): 315-338. </w:t>
      </w:r>
    </w:p>
  </w:endnote>
  <w:endnote w:id="26">
    <w:p w14:paraId="6923E7F9" w14:textId="183C562D" w:rsidR="001B48C2" w:rsidRPr="00924CB3" w:rsidRDefault="001B48C2" w:rsidP="00006F73">
      <w:pPr>
        <w:pStyle w:val="EndnoteText"/>
        <w:spacing w:line="480" w:lineRule="auto"/>
        <w:rPr>
          <w:rFonts w:ascii="Times New Roman" w:hAnsi="Times New Roman" w:cs="Times New Roman"/>
          <w:sz w:val="24"/>
          <w:szCs w:val="24"/>
          <w:lang w:val="en-US"/>
        </w:rPr>
      </w:pPr>
      <w:r w:rsidRPr="00924CB3">
        <w:rPr>
          <w:rStyle w:val="EndnoteReference"/>
          <w:rFonts w:ascii="Times New Roman" w:hAnsi="Times New Roman" w:cs="Times New Roman"/>
          <w:sz w:val="24"/>
          <w:szCs w:val="24"/>
        </w:rPr>
        <w:endnoteRef/>
      </w:r>
      <w:r w:rsidRPr="00924CB3">
        <w:rPr>
          <w:rFonts w:ascii="Times New Roman" w:hAnsi="Times New Roman" w:cs="Times New Roman"/>
          <w:sz w:val="24"/>
          <w:szCs w:val="24"/>
        </w:rPr>
        <w:t xml:space="preserve"> </w:t>
      </w:r>
      <w:r w:rsidRPr="00807F00">
        <w:rPr>
          <w:rFonts w:ascii="Times New Roman" w:hAnsi="Times New Roman" w:cs="Times New Roman"/>
          <w:sz w:val="24"/>
          <w:szCs w:val="24"/>
        </w:rPr>
        <w:t>Pietsch</w:t>
      </w:r>
      <w:r>
        <w:rPr>
          <w:rFonts w:ascii="Times New Roman" w:hAnsi="Times New Roman" w:cs="Times New Roman"/>
          <w:sz w:val="24"/>
          <w:szCs w:val="24"/>
        </w:rPr>
        <w:t xml:space="preserve">, </w:t>
      </w:r>
      <w:r w:rsidRPr="00A82848">
        <w:rPr>
          <w:rFonts w:ascii="Times New Roman" w:hAnsi="Times New Roman" w:cs="Times New Roman"/>
          <w:i/>
          <w:sz w:val="24"/>
          <w:szCs w:val="24"/>
        </w:rPr>
        <w:t>Empire</w:t>
      </w:r>
      <w:r w:rsidRPr="00807F00">
        <w:rPr>
          <w:rFonts w:ascii="Times New Roman" w:hAnsi="Times New Roman" w:cs="Times New Roman"/>
          <w:sz w:val="24"/>
          <w:szCs w:val="24"/>
        </w:rPr>
        <w:t>.</w:t>
      </w:r>
    </w:p>
  </w:endnote>
  <w:endnote w:id="27">
    <w:p w14:paraId="2187191F" w14:textId="38E05A6A" w:rsidR="001B48C2" w:rsidRDefault="001B48C2" w:rsidP="00006F73">
      <w:pPr>
        <w:spacing w:line="480" w:lineRule="auto"/>
        <w:rPr>
          <w:rFonts w:ascii="Times New Roman" w:hAnsi="Times New Roman" w:cs="Times New Roman"/>
        </w:rPr>
      </w:pPr>
      <w:r w:rsidRPr="00924CB3">
        <w:rPr>
          <w:rStyle w:val="EndnoteReference"/>
          <w:rFonts w:ascii="Times New Roman" w:hAnsi="Times New Roman" w:cs="Times New Roman"/>
        </w:rPr>
        <w:endnoteRef/>
      </w:r>
      <w:r w:rsidRPr="00924CB3">
        <w:rPr>
          <w:rFonts w:ascii="Times New Roman" w:hAnsi="Times New Roman" w:cs="Times New Roman"/>
        </w:rPr>
        <w:t xml:space="preserve"> </w:t>
      </w:r>
      <w:r>
        <w:rPr>
          <w:rFonts w:ascii="Times New Roman" w:hAnsi="Times New Roman" w:cs="Times New Roman"/>
          <w:lang w:val="en-US"/>
        </w:rPr>
        <w:t xml:space="preserve">Kathleen </w:t>
      </w:r>
      <w:r w:rsidRPr="00807F00">
        <w:rPr>
          <w:rFonts w:ascii="Times New Roman" w:hAnsi="Times New Roman" w:cs="Times New Roman"/>
        </w:rPr>
        <w:t>Thele</w:t>
      </w:r>
      <w:r>
        <w:rPr>
          <w:rFonts w:ascii="Times New Roman" w:hAnsi="Times New Roman" w:cs="Times New Roman"/>
        </w:rPr>
        <w:t>n and</w:t>
      </w:r>
      <w:r w:rsidRPr="00807F00">
        <w:rPr>
          <w:rFonts w:ascii="Times New Roman" w:hAnsi="Times New Roman" w:cs="Times New Roman"/>
        </w:rPr>
        <w:t xml:space="preserve"> Sven Steinmo</w:t>
      </w:r>
      <w:r>
        <w:rPr>
          <w:rFonts w:ascii="Times New Roman" w:hAnsi="Times New Roman" w:cs="Times New Roman"/>
        </w:rPr>
        <w:t>, “</w:t>
      </w:r>
      <w:r w:rsidRPr="00807F00">
        <w:rPr>
          <w:rFonts w:ascii="Times New Roman" w:hAnsi="Times New Roman" w:cs="Times New Roman"/>
        </w:rPr>
        <w:t>Historical institutionalism in comparative politics</w:t>
      </w:r>
      <w:r>
        <w:rPr>
          <w:rFonts w:ascii="Times New Roman" w:hAnsi="Times New Roman" w:cs="Times New Roman"/>
        </w:rPr>
        <w:t xml:space="preserve">,” in </w:t>
      </w:r>
      <w:r w:rsidRPr="00903A20">
        <w:rPr>
          <w:rFonts w:ascii="Times New Roman" w:hAnsi="Times New Roman" w:cs="Times New Roman"/>
          <w:i/>
        </w:rPr>
        <w:t>Structuring Politics: Historical Institutionalism in Comparative Analysis</w:t>
      </w:r>
      <w:r w:rsidRPr="00807F00">
        <w:rPr>
          <w:rFonts w:ascii="Times New Roman" w:hAnsi="Times New Roman" w:cs="Times New Roman"/>
        </w:rPr>
        <w:t>,</w:t>
      </w:r>
      <w:r>
        <w:rPr>
          <w:rFonts w:ascii="Times New Roman" w:hAnsi="Times New Roman" w:cs="Times New Roman"/>
        </w:rPr>
        <w:t xml:space="preserve"> ed.</w:t>
      </w:r>
      <w:r w:rsidRPr="00807F00">
        <w:rPr>
          <w:rFonts w:ascii="Times New Roman" w:hAnsi="Times New Roman" w:cs="Times New Roman"/>
        </w:rPr>
        <w:t xml:space="preserve"> Sven Steinmo, Kathleen Thelen</w:t>
      </w:r>
      <w:r>
        <w:rPr>
          <w:rFonts w:ascii="Times New Roman" w:hAnsi="Times New Roman" w:cs="Times New Roman"/>
        </w:rPr>
        <w:t>, and</w:t>
      </w:r>
      <w:r w:rsidRPr="00807F00">
        <w:rPr>
          <w:rFonts w:ascii="Times New Roman" w:hAnsi="Times New Roman" w:cs="Times New Roman"/>
        </w:rPr>
        <w:t xml:space="preserve"> Frank Long</w:t>
      </w:r>
      <w:r>
        <w:rPr>
          <w:rFonts w:ascii="Times New Roman" w:hAnsi="Times New Roman" w:cs="Times New Roman"/>
        </w:rPr>
        <w:t>streth (</w:t>
      </w:r>
      <w:r w:rsidRPr="00807F00">
        <w:rPr>
          <w:rFonts w:ascii="Times New Roman" w:hAnsi="Times New Roman" w:cs="Times New Roman"/>
        </w:rPr>
        <w:t>Cam</w:t>
      </w:r>
      <w:r w:rsidRPr="00144D11">
        <w:rPr>
          <w:rFonts w:ascii="Times New Roman" w:hAnsi="Times New Roman" w:cs="Times New Roman"/>
        </w:rPr>
        <w:t>bridge: Cambridge Uni</w:t>
      </w:r>
      <w:r>
        <w:rPr>
          <w:rFonts w:ascii="Times New Roman" w:hAnsi="Times New Roman" w:cs="Times New Roman"/>
        </w:rPr>
        <w:t>versity Press, 1992),</w:t>
      </w:r>
      <w:r w:rsidRPr="00144D11">
        <w:rPr>
          <w:rFonts w:ascii="Times New Roman" w:hAnsi="Times New Roman" w:cs="Times New Roman"/>
        </w:rPr>
        <w:t xml:space="preserve"> 1-32</w:t>
      </w:r>
      <w:r>
        <w:rPr>
          <w:rFonts w:ascii="Times New Roman" w:hAnsi="Times New Roman" w:cs="Times New Roman"/>
        </w:rPr>
        <w:t>;</w:t>
      </w:r>
      <w:r w:rsidRPr="00144D11">
        <w:rPr>
          <w:rFonts w:ascii="Times New Roman" w:hAnsi="Times New Roman" w:cs="Times New Roman"/>
        </w:rPr>
        <w:t xml:space="preserve"> </w:t>
      </w:r>
      <w:r>
        <w:rPr>
          <w:rFonts w:ascii="Times New Roman" w:hAnsi="Times New Roman" w:cs="Times New Roman"/>
        </w:rPr>
        <w:t>James Mahoney and</w:t>
      </w:r>
      <w:r w:rsidRPr="00144D11">
        <w:rPr>
          <w:rFonts w:ascii="Times New Roman" w:hAnsi="Times New Roman" w:cs="Times New Roman"/>
        </w:rPr>
        <w:t xml:space="preserve"> Kathleen Thelen</w:t>
      </w:r>
      <w:r>
        <w:rPr>
          <w:rFonts w:ascii="Times New Roman" w:hAnsi="Times New Roman" w:cs="Times New Roman"/>
        </w:rPr>
        <w:t>, eds,</w:t>
      </w:r>
      <w:r w:rsidRPr="00144D11">
        <w:rPr>
          <w:rFonts w:ascii="Times New Roman" w:hAnsi="Times New Roman" w:cs="Times New Roman"/>
        </w:rPr>
        <w:t xml:space="preserve"> </w:t>
      </w:r>
      <w:r w:rsidRPr="00903A20">
        <w:rPr>
          <w:rFonts w:ascii="Times New Roman" w:hAnsi="Times New Roman" w:cs="Times New Roman"/>
          <w:i/>
        </w:rPr>
        <w:t xml:space="preserve">Explaining Institutional Change: Ambiguity, Agency, and Power </w:t>
      </w:r>
      <w:r>
        <w:rPr>
          <w:rFonts w:ascii="Times New Roman" w:hAnsi="Times New Roman" w:cs="Times New Roman"/>
        </w:rPr>
        <w:t>(</w:t>
      </w:r>
      <w:r w:rsidRPr="00144D11">
        <w:rPr>
          <w:rFonts w:ascii="Times New Roman" w:hAnsi="Times New Roman" w:cs="Times New Roman"/>
        </w:rPr>
        <w:t>Cambridge: Cam</w:t>
      </w:r>
      <w:r>
        <w:rPr>
          <w:rFonts w:ascii="Times New Roman" w:hAnsi="Times New Roman" w:cs="Times New Roman"/>
        </w:rPr>
        <w:t xml:space="preserve">bridge University Press, </w:t>
      </w:r>
      <w:r w:rsidRPr="00144D11">
        <w:rPr>
          <w:rFonts w:ascii="Times New Roman" w:hAnsi="Times New Roman" w:cs="Times New Roman"/>
        </w:rPr>
        <w:t>201</w:t>
      </w:r>
      <w:r>
        <w:rPr>
          <w:rFonts w:ascii="Times New Roman" w:hAnsi="Times New Roman" w:cs="Times New Roman"/>
        </w:rPr>
        <w:t>0</w:t>
      </w:r>
      <w:r w:rsidRPr="00144D11">
        <w:rPr>
          <w:rFonts w:ascii="Times New Roman" w:hAnsi="Times New Roman" w:cs="Times New Roman"/>
        </w:rPr>
        <w:t>)</w:t>
      </w:r>
      <w:r>
        <w:rPr>
          <w:rFonts w:ascii="Times New Roman" w:hAnsi="Times New Roman" w:cs="Times New Roman"/>
        </w:rPr>
        <w:t>.</w:t>
      </w:r>
    </w:p>
    <w:p w14:paraId="7D4BD63C" w14:textId="77777777" w:rsidR="00F438C1" w:rsidRDefault="00F438C1" w:rsidP="00006F73">
      <w:pPr>
        <w:spacing w:line="480" w:lineRule="auto"/>
        <w:rPr>
          <w:rFonts w:ascii="Times New Roman" w:hAnsi="Times New Roman" w:cs="Times New Roman"/>
        </w:rPr>
      </w:pPr>
    </w:p>
    <w:p w14:paraId="6166B10F" w14:textId="77777777" w:rsidR="00F438C1" w:rsidRPr="00924CB3" w:rsidRDefault="00F438C1" w:rsidP="00006F73">
      <w:pPr>
        <w:spacing w:line="48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6FAF" w14:textId="77777777" w:rsidR="001B48C2" w:rsidRDefault="001B48C2" w:rsidP="00457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879F8" w14:textId="77777777" w:rsidR="001B48C2" w:rsidRDefault="001B48C2" w:rsidP="004573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2D91" w14:textId="77777777" w:rsidR="001B48C2" w:rsidRPr="00942C2E" w:rsidRDefault="001B48C2" w:rsidP="004573C5">
    <w:pPr>
      <w:pStyle w:val="Footer"/>
      <w:framePr w:wrap="around" w:vAnchor="text" w:hAnchor="margin" w:xAlign="right" w:y="1"/>
      <w:rPr>
        <w:rStyle w:val="PageNumber"/>
        <w:rFonts w:ascii="Times New Roman" w:hAnsi="Times New Roman" w:cs="Times New Roman"/>
      </w:rPr>
    </w:pPr>
    <w:r w:rsidRPr="00942C2E">
      <w:rPr>
        <w:rStyle w:val="PageNumber"/>
        <w:rFonts w:ascii="Times New Roman" w:hAnsi="Times New Roman" w:cs="Times New Roman"/>
      </w:rPr>
      <w:fldChar w:fldCharType="begin"/>
    </w:r>
    <w:r w:rsidRPr="00942C2E">
      <w:rPr>
        <w:rStyle w:val="PageNumber"/>
        <w:rFonts w:ascii="Times New Roman" w:hAnsi="Times New Roman" w:cs="Times New Roman"/>
      </w:rPr>
      <w:instrText xml:space="preserve">PAGE  </w:instrText>
    </w:r>
    <w:r w:rsidRPr="00942C2E">
      <w:rPr>
        <w:rStyle w:val="PageNumber"/>
        <w:rFonts w:ascii="Times New Roman" w:hAnsi="Times New Roman" w:cs="Times New Roman"/>
      </w:rPr>
      <w:fldChar w:fldCharType="separate"/>
    </w:r>
    <w:r w:rsidR="00C257E1">
      <w:rPr>
        <w:rStyle w:val="PageNumber"/>
        <w:rFonts w:ascii="Times New Roman" w:hAnsi="Times New Roman" w:cs="Times New Roman"/>
        <w:noProof/>
      </w:rPr>
      <w:t>10</w:t>
    </w:r>
    <w:r w:rsidRPr="00942C2E">
      <w:rPr>
        <w:rStyle w:val="PageNumber"/>
        <w:rFonts w:ascii="Times New Roman" w:hAnsi="Times New Roman" w:cs="Times New Roman"/>
      </w:rPr>
      <w:fldChar w:fldCharType="end"/>
    </w:r>
  </w:p>
  <w:p w14:paraId="4D15D098" w14:textId="77777777" w:rsidR="001B48C2" w:rsidRDefault="001B48C2" w:rsidP="004573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2025" w14:textId="77777777" w:rsidR="005E78E7" w:rsidRDefault="005E78E7" w:rsidP="00F7448B">
      <w:r>
        <w:separator/>
      </w:r>
    </w:p>
  </w:footnote>
  <w:footnote w:type="continuationSeparator" w:id="0">
    <w:p w14:paraId="48A9CE32" w14:textId="77777777" w:rsidR="005E78E7" w:rsidRDefault="005E78E7" w:rsidP="00F7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8B"/>
    <w:rsid w:val="00006F73"/>
    <w:rsid w:val="00036C3E"/>
    <w:rsid w:val="000817AF"/>
    <w:rsid w:val="000B7485"/>
    <w:rsid w:val="000E7773"/>
    <w:rsid w:val="00113106"/>
    <w:rsid w:val="00113DF3"/>
    <w:rsid w:val="00125747"/>
    <w:rsid w:val="001367B4"/>
    <w:rsid w:val="00160A91"/>
    <w:rsid w:val="00197ED8"/>
    <w:rsid w:val="001B2777"/>
    <w:rsid w:val="001B4627"/>
    <w:rsid w:val="001B48C2"/>
    <w:rsid w:val="001C2744"/>
    <w:rsid w:val="001C4858"/>
    <w:rsid w:val="002413D0"/>
    <w:rsid w:val="002E1F23"/>
    <w:rsid w:val="00316BC6"/>
    <w:rsid w:val="00317AC6"/>
    <w:rsid w:val="003356D0"/>
    <w:rsid w:val="00350102"/>
    <w:rsid w:val="003939A3"/>
    <w:rsid w:val="00401D2A"/>
    <w:rsid w:val="00432467"/>
    <w:rsid w:val="004573C5"/>
    <w:rsid w:val="00471806"/>
    <w:rsid w:val="00474A08"/>
    <w:rsid w:val="0048049E"/>
    <w:rsid w:val="005148DC"/>
    <w:rsid w:val="00584108"/>
    <w:rsid w:val="005D4920"/>
    <w:rsid w:val="005E78E7"/>
    <w:rsid w:val="00656939"/>
    <w:rsid w:val="007025DC"/>
    <w:rsid w:val="00720254"/>
    <w:rsid w:val="00726175"/>
    <w:rsid w:val="0079273F"/>
    <w:rsid w:val="007D3FBF"/>
    <w:rsid w:val="007F257C"/>
    <w:rsid w:val="00816EBD"/>
    <w:rsid w:val="008619C3"/>
    <w:rsid w:val="008D49EB"/>
    <w:rsid w:val="008E34B4"/>
    <w:rsid w:val="008E3DF4"/>
    <w:rsid w:val="00903A20"/>
    <w:rsid w:val="00942C2E"/>
    <w:rsid w:val="00955928"/>
    <w:rsid w:val="009A357D"/>
    <w:rsid w:val="009C1031"/>
    <w:rsid w:val="009D4BCE"/>
    <w:rsid w:val="00A44549"/>
    <w:rsid w:val="00A71BD9"/>
    <w:rsid w:val="00A82658"/>
    <w:rsid w:val="00A82848"/>
    <w:rsid w:val="00A8408C"/>
    <w:rsid w:val="00AA13C9"/>
    <w:rsid w:val="00AF3C73"/>
    <w:rsid w:val="00B30766"/>
    <w:rsid w:val="00BD7134"/>
    <w:rsid w:val="00C257E1"/>
    <w:rsid w:val="00C514C6"/>
    <w:rsid w:val="00C71674"/>
    <w:rsid w:val="00CA572A"/>
    <w:rsid w:val="00D41C48"/>
    <w:rsid w:val="00D66012"/>
    <w:rsid w:val="00DC3D82"/>
    <w:rsid w:val="00DD3793"/>
    <w:rsid w:val="00DD64A9"/>
    <w:rsid w:val="00E13757"/>
    <w:rsid w:val="00E27583"/>
    <w:rsid w:val="00E76690"/>
    <w:rsid w:val="00EC7125"/>
    <w:rsid w:val="00EE0994"/>
    <w:rsid w:val="00F438C1"/>
    <w:rsid w:val="00F744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0E4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8B"/>
    <w:rPr>
      <w:rFonts w:asciiTheme="minorHAnsi" w:hAnsiTheme="minorHAnsi" w:cstheme="minorBidi"/>
      <w:sz w:val="24"/>
      <w:szCs w:val="24"/>
      <w:lang w:val="en-GB"/>
    </w:rPr>
  </w:style>
  <w:style w:type="paragraph" w:styleId="Heading3">
    <w:name w:val="heading 3"/>
    <w:basedOn w:val="Normal"/>
    <w:next w:val="Normal"/>
    <w:qFormat/>
    <w:rsid w:val="00707419"/>
    <w:pPr>
      <w:keepNext/>
      <w:spacing w:before="240" w:after="60"/>
      <w:outlineLvl w:val="2"/>
    </w:pPr>
    <w:rPr>
      <w:rFonts w:ascii="Arial" w:hAnsi="Arial" w:cs="Times New Roman"/>
      <w:sz w:val="26"/>
      <w:szCs w:val="26"/>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7BD4"/>
    <w:rPr>
      <w:rFonts w:ascii="Lucida Grande" w:hAnsi="Lucida Grande" w:cs="Times New Roman"/>
      <w:sz w:val="18"/>
      <w:szCs w:val="18"/>
      <w:lang w:val="fr-FR" w:eastAsia="fr-FR"/>
    </w:rPr>
  </w:style>
  <w:style w:type="paragraph" w:styleId="DocumentMap">
    <w:name w:val="Document Map"/>
    <w:basedOn w:val="Normal"/>
    <w:semiHidden/>
    <w:rsid w:val="002C6255"/>
    <w:pPr>
      <w:shd w:val="clear" w:color="auto" w:fill="C6D5EC"/>
    </w:pPr>
    <w:rPr>
      <w:rFonts w:ascii="Arial" w:hAnsi="Arial" w:cs="Times New Roman"/>
      <w:lang w:val="fr-FR" w:eastAsia="fr-FR"/>
    </w:rPr>
  </w:style>
  <w:style w:type="character" w:styleId="FootnoteReference">
    <w:name w:val="footnote reference"/>
    <w:basedOn w:val="DefaultParagraphFont"/>
    <w:uiPriority w:val="99"/>
    <w:unhideWhenUsed/>
    <w:rsid w:val="00F7448B"/>
    <w:rPr>
      <w:vertAlign w:val="superscript"/>
    </w:rPr>
  </w:style>
  <w:style w:type="paragraph" w:styleId="FootnoteText">
    <w:name w:val="footnote text"/>
    <w:basedOn w:val="Normal"/>
    <w:link w:val="FootnoteTextChar"/>
    <w:uiPriority w:val="99"/>
    <w:unhideWhenUsed/>
    <w:rsid w:val="00F7448B"/>
    <w:rPr>
      <w:rFonts w:ascii="Garamond" w:eastAsia="MS Mincho" w:hAnsi="Garamond" w:cs="Times New Roman"/>
      <w:lang w:val="en-US" w:eastAsia="en-US"/>
    </w:rPr>
  </w:style>
  <w:style w:type="character" w:customStyle="1" w:styleId="FootnoteTextChar">
    <w:name w:val="Footnote Text Char"/>
    <w:basedOn w:val="DefaultParagraphFont"/>
    <w:link w:val="FootnoteText"/>
    <w:uiPriority w:val="99"/>
    <w:rsid w:val="00F7448B"/>
    <w:rPr>
      <w:rFonts w:ascii="Garamond" w:eastAsia="MS Mincho" w:hAnsi="Garamond"/>
      <w:sz w:val="24"/>
      <w:szCs w:val="24"/>
      <w:lang w:val="en-US" w:eastAsia="en-US"/>
    </w:rPr>
  </w:style>
  <w:style w:type="paragraph" w:styleId="EndnoteText">
    <w:name w:val="endnote text"/>
    <w:basedOn w:val="Normal"/>
    <w:link w:val="EndnoteTextChar"/>
    <w:uiPriority w:val="99"/>
    <w:unhideWhenUsed/>
    <w:rsid w:val="00E76690"/>
    <w:rPr>
      <w:sz w:val="20"/>
      <w:szCs w:val="20"/>
    </w:rPr>
  </w:style>
  <w:style w:type="character" w:customStyle="1" w:styleId="EndnoteTextChar">
    <w:name w:val="Endnote Text Char"/>
    <w:basedOn w:val="DefaultParagraphFont"/>
    <w:link w:val="EndnoteText"/>
    <w:uiPriority w:val="99"/>
    <w:rsid w:val="00E76690"/>
    <w:rPr>
      <w:rFonts w:asciiTheme="minorHAnsi" w:hAnsiTheme="minorHAnsi" w:cstheme="minorBidi"/>
      <w:lang w:val="en-GB"/>
    </w:rPr>
  </w:style>
  <w:style w:type="character" w:styleId="EndnoteReference">
    <w:name w:val="endnote reference"/>
    <w:basedOn w:val="DefaultParagraphFont"/>
    <w:uiPriority w:val="99"/>
    <w:semiHidden/>
    <w:unhideWhenUsed/>
    <w:rsid w:val="00E76690"/>
    <w:rPr>
      <w:vertAlign w:val="superscript"/>
    </w:rPr>
  </w:style>
  <w:style w:type="paragraph" w:styleId="Footer">
    <w:name w:val="footer"/>
    <w:basedOn w:val="Normal"/>
    <w:link w:val="FooterChar"/>
    <w:uiPriority w:val="99"/>
    <w:unhideWhenUsed/>
    <w:rsid w:val="00E76690"/>
    <w:pPr>
      <w:tabs>
        <w:tab w:val="center" w:pos="4320"/>
        <w:tab w:val="right" w:pos="8640"/>
      </w:tabs>
    </w:pPr>
  </w:style>
  <w:style w:type="character" w:customStyle="1" w:styleId="FooterChar">
    <w:name w:val="Footer Char"/>
    <w:basedOn w:val="DefaultParagraphFont"/>
    <w:link w:val="Footer"/>
    <w:uiPriority w:val="99"/>
    <w:rsid w:val="00E76690"/>
    <w:rPr>
      <w:rFonts w:asciiTheme="minorHAnsi" w:hAnsiTheme="minorHAnsi" w:cstheme="minorBidi"/>
      <w:sz w:val="24"/>
      <w:szCs w:val="24"/>
      <w:lang w:val="en-GB"/>
    </w:rPr>
  </w:style>
  <w:style w:type="character" w:styleId="PageNumber">
    <w:name w:val="page number"/>
    <w:basedOn w:val="DefaultParagraphFont"/>
    <w:uiPriority w:val="99"/>
    <w:semiHidden/>
    <w:unhideWhenUsed/>
    <w:rsid w:val="00E76690"/>
  </w:style>
  <w:style w:type="paragraph" w:styleId="Header">
    <w:name w:val="header"/>
    <w:basedOn w:val="Normal"/>
    <w:link w:val="HeaderChar"/>
    <w:uiPriority w:val="99"/>
    <w:unhideWhenUsed/>
    <w:rsid w:val="00AA13C9"/>
    <w:pPr>
      <w:tabs>
        <w:tab w:val="center" w:pos="4536"/>
        <w:tab w:val="right" w:pos="9072"/>
      </w:tabs>
    </w:pPr>
  </w:style>
  <w:style w:type="character" w:customStyle="1" w:styleId="HeaderChar">
    <w:name w:val="Header Char"/>
    <w:basedOn w:val="DefaultParagraphFont"/>
    <w:link w:val="Header"/>
    <w:uiPriority w:val="99"/>
    <w:rsid w:val="00AA13C9"/>
    <w:rPr>
      <w:rFonts w:asciiTheme="minorHAnsi" w:hAnsiTheme="minorHAnsi" w:cstheme="minorBidi"/>
      <w:sz w:val="24"/>
      <w:szCs w:val="24"/>
      <w:lang w:val="en-GB"/>
    </w:rPr>
  </w:style>
  <w:style w:type="character" w:styleId="Hyperlink">
    <w:name w:val="Hyperlink"/>
    <w:basedOn w:val="DefaultParagraphFont"/>
    <w:uiPriority w:val="99"/>
    <w:unhideWhenUsed/>
    <w:rsid w:val="00E137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8B"/>
    <w:rPr>
      <w:rFonts w:asciiTheme="minorHAnsi" w:hAnsiTheme="minorHAnsi" w:cstheme="minorBidi"/>
      <w:sz w:val="24"/>
      <w:szCs w:val="24"/>
      <w:lang w:val="en-GB"/>
    </w:rPr>
  </w:style>
  <w:style w:type="paragraph" w:styleId="Heading3">
    <w:name w:val="heading 3"/>
    <w:basedOn w:val="Normal"/>
    <w:next w:val="Normal"/>
    <w:qFormat/>
    <w:rsid w:val="00707419"/>
    <w:pPr>
      <w:keepNext/>
      <w:spacing w:before="240" w:after="60"/>
      <w:outlineLvl w:val="2"/>
    </w:pPr>
    <w:rPr>
      <w:rFonts w:ascii="Arial" w:hAnsi="Arial" w:cs="Times New Roman"/>
      <w:sz w:val="26"/>
      <w:szCs w:val="26"/>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7BD4"/>
    <w:rPr>
      <w:rFonts w:ascii="Lucida Grande" w:hAnsi="Lucida Grande" w:cs="Times New Roman"/>
      <w:sz w:val="18"/>
      <w:szCs w:val="18"/>
      <w:lang w:val="fr-FR" w:eastAsia="fr-FR"/>
    </w:rPr>
  </w:style>
  <w:style w:type="paragraph" w:styleId="DocumentMap">
    <w:name w:val="Document Map"/>
    <w:basedOn w:val="Normal"/>
    <w:semiHidden/>
    <w:rsid w:val="002C6255"/>
    <w:pPr>
      <w:shd w:val="clear" w:color="auto" w:fill="C6D5EC"/>
    </w:pPr>
    <w:rPr>
      <w:rFonts w:ascii="Arial" w:hAnsi="Arial" w:cs="Times New Roman"/>
      <w:lang w:val="fr-FR" w:eastAsia="fr-FR"/>
    </w:rPr>
  </w:style>
  <w:style w:type="character" w:styleId="FootnoteReference">
    <w:name w:val="footnote reference"/>
    <w:basedOn w:val="DefaultParagraphFont"/>
    <w:uiPriority w:val="99"/>
    <w:unhideWhenUsed/>
    <w:rsid w:val="00F7448B"/>
    <w:rPr>
      <w:vertAlign w:val="superscript"/>
    </w:rPr>
  </w:style>
  <w:style w:type="paragraph" w:styleId="FootnoteText">
    <w:name w:val="footnote text"/>
    <w:basedOn w:val="Normal"/>
    <w:link w:val="FootnoteTextChar"/>
    <w:uiPriority w:val="99"/>
    <w:unhideWhenUsed/>
    <w:rsid w:val="00F7448B"/>
    <w:rPr>
      <w:rFonts w:ascii="Garamond" w:eastAsia="MS Mincho" w:hAnsi="Garamond" w:cs="Times New Roman"/>
      <w:lang w:val="en-US" w:eastAsia="en-US"/>
    </w:rPr>
  </w:style>
  <w:style w:type="character" w:customStyle="1" w:styleId="FootnoteTextChar">
    <w:name w:val="Footnote Text Char"/>
    <w:basedOn w:val="DefaultParagraphFont"/>
    <w:link w:val="FootnoteText"/>
    <w:uiPriority w:val="99"/>
    <w:rsid w:val="00F7448B"/>
    <w:rPr>
      <w:rFonts w:ascii="Garamond" w:eastAsia="MS Mincho" w:hAnsi="Garamond"/>
      <w:sz w:val="24"/>
      <w:szCs w:val="24"/>
      <w:lang w:val="en-US" w:eastAsia="en-US"/>
    </w:rPr>
  </w:style>
  <w:style w:type="paragraph" w:styleId="EndnoteText">
    <w:name w:val="endnote text"/>
    <w:basedOn w:val="Normal"/>
    <w:link w:val="EndnoteTextChar"/>
    <w:uiPriority w:val="99"/>
    <w:unhideWhenUsed/>
    <w:rsid w:val="00E76690"/>
    <w:rPr>
      <w:sz w:val="20"/>
      <w:szCs w:val="20"/>
    </w:rPr>
  </w:style>
  <w:style w:type="character" w:customStyle="1" w:styleId="EndnoteTextChar">
    <w:name w:val="Endnote Text Char"/>
    <w:basedOn w:val="DefaultParagraphFont"/>
    <w:link w:val="EndnoteText"/>
    <w:uiPriority w:val="99"/>
    <w:rsid w:val="00E76690"/>
    <w:rPr>
      <w:rFonts w:asciiTheme="minorHAnsi" w:hAnsiTheme="minorHAnsi" w:cstheme="minorBidi"/>
      <w:lang w:val="en-GB"/>
    </w:rPr>
  </w:style>
  <w:style w:type="character" w:styleId="EndnoteReference">
    <w:name w:val="endnote reference"/>
    <w:basedOn w:val="DefaultParagraphFont"/>
    <w:uiPriority w:val="99"/>
    <w:semiHidden/>
    <w:unhideWhenUsed/>
    <w:rsid w:val="00E76690"/>
    <w:rPr>
      <w:vertAlign w:val="superscript"/>
    </w:rPr>
  </w:style>
  <w:style w:type="paragraph" w:styleId="Footer">
    <w:name w:val="footer"/>
    <w:basedOn w:val="Normal"/>
    <w:link w:val="FooterChar"/>
    <w:uiPriority w:val="99"/>
    <w:unhideWhenUsed/>
    <w:rsid w:val="00E76690"/>
    <w:pPr>
      <w:tabs>
        <w:tab w:val="center" w:pos="4320"/>
        <w:tab w:val="right" w:pos="8640"/>
      </w:tabs>
    </w:pPr>
  </w:style>
  <w:style w:type="character" w:customStyle="1" w:styleId="FooterChar">
    <w:name w:val="Footer Char"/>
    <w:basedOn w:val="DefaultParagraphFont"/>
    <w:link w:val="Footer"/>
    <w:uiPriority w:val="99"/>
    <w:rsid w:val="00E76690"/>
    <w:rPr>
      <w:rFonts w:asciiTheme="minorHAnsi" w:hAnsiTheme="minorHAnsi" w:cstheme="minorBidi"/>
      <w:sz w:val="24"/>
      <w:szCs w:val="24"/>
      <w:lang w:val="en-GB"/>
    </w:rPr>
  </w:style>
  <w:style w:type="character" w:styleId="PageNumber">
    <w:name w:val="page number"/>
    <w:basedOn w:val="DefaultParagraphFont"/>
    <w:uiPriority w:val="99"/>
    <w:semiHidden/>
    <w:unhideWhenUsed/>
    <w:rsid w:val="00E76690"/>
  </w:style>
  <w:style w:type="paragraph" w:styleId="Header">
    <w:name w:val="header"/>
    <w:basedOn w:val="Normal"/>
    <w:link w:val="HeaderChar"/>
    <w:uiPriority w:val="99"/>
    <w:unhideWhenUsed/>
    <w:rsid w:val="00AA13C9"/>
    <w:pPr>
      <w:tabs>
        <w:tab w:val="center" w:pos="4536"/>
        <w:tab w:val="right" w:pos="9072"/>
      </w:tabs>
    </w:pPr>
  </w:style>
  <w:style w:type="character" w:customStyle="1" w:styleId="HeaderChar">
    <w:name w:val="Header Char"/>
    <w:basedOn w:val="DefaultParagraphFont"/>
    <w:link w:val="Header"/>
    <w:uiPriority w:val="99"/>
    <w:rsid w:val="00AA13C9"/>
    <w:rPr>
      <w:rFonts w:asciiTheme="minorHAnsi" w:hAnsiTheme="minorHAnsi" w:cstheme="minorBidi"/>
      <w:sz w:val="24"/>
      <w:szCs w:val="24"/>
      <w:lang w:val="en-GB"/>
    </w:rPr>
  </w:style>
  <w:style w:type="character" w:styleId="Hyperlink">
    <w:name w:val="Hyperlink"/>
    <w:basedOn w:val="DefaultParagraphFont"/>
    <w:uiPriority w:val="99"/>
    <w:unhideWhenUsed/>
    <w:rsid w:val="00E13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hodeshouse.ox.ac.uk/about/rhodes-scholars/rhodes-scholars-complete-list" TargetMode="External"/><Relationship Id="rId20" Type="http://schemas.openxmlformats.org/officeDocument/2006/relationships/chart" Target="charts/chart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hodeshouse.ox.ac.uk/infographic" TargetMode="External"/><Relationship Id="rId11" Type="http://schemas.openxmlformats.org/officeDocument/2006/relationships/hyperlink" Target="http://www.rhodeshouse.ox.ac.uk/china" TargetMode="External"/><Relationship Id="rId12" Type="http://schemas.openxmlformats.org/officeDocument/2006/relationships/hyperlink" Target="http://itunes.apple.com/podcast/london-school-economics-public/id279428154" TargetMode="External"/><Relationship Id="rId13" Type="http://schemas.openxmlformats.org/officeDocument/2006/relationships/hyperlink" Target="http://files.rhodesscholarshiptrust.com/governancedocs/WillandCodicils.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rhodeshouse.ox.ac.uk/about/rhodes-scholars/rhodes-scholars-complete-list"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rghahnbooks.com/title/TournesGlob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hodeshouse.ox.ac.uk/infographic" TargetMode="External"/><Relationship Id="rId4" Type="http://schemas.openxmlformats.org/officeDocument/2006/relationships/hyperlink" Target="http://files.rhodesscholarshiptrust.com/governancedocs/WillandCodicils.pdf" TargetMode="External"/><Relationship Id="rId5" Type="http://schemas.openxmlformats.org/officeDocument/2006/relationships/hyperlink" Target="http://itunes.apple.com/podcast/london-school-economics-public/id279428154" TargetMode="External"/><Relationship Id="rId1" Type="http://schemas.openxmlformats.org/officeDocument/2006/relationships/hyperlink" Target="http://www.rhodeshouse.ox.ac.uk/about/rhodes-scholars/rhodes-scholars-complete-list" TargetMode="External"/><Relationship Id="rId2" Type="http://schemas.openxmlformats.org/officeDocument/2006/relationships/hyperlink" Target="http://www.rhodeshouse.ox.ac.uk/chin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HD:Users:tamson:Dropbox:History:Projects:SRHE%20Scoping%20Award:SHARED%20-%20Organising%20Scholarly%20Networks:Rhodes%20database:Rhodes%20articles:rhodes%20region%20el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HD:Users:tamson:Dropbox:History:Projects:SRHE%20Scoping%20Award:Rhodes%20Gend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suan:Desktop:Rhodes%20geographical%20mobility%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Hsuan:Dropbox:PROJECTS:Organising%20Scholarly%20Networks:Rhodes%20database:Hsuan%20Rhodes%20files:Rhodes%20geographical%20mobility%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'All modified'!$B$2</c:f>
              <c:strCache>
                <c:ptCount val="1"/>
                <c:pt idx="0">
                  <c:v>Southern Africa</c:v>
                </c:pt>
              </c:strCache>
            </c:strRef>
          </c:tx>
          <c:spPr>
            <a:solidFill>
              <a:srgbClr val="00FF00"/>
            </a:solidFill>
          </c:spPr>
          <c:invertIfNegative val="0"/>
          <c:cat>
            <c:numRef>
              <c:f>'All modified'!$A$3:$A$113</c:f>
              <c:numCache>
                <c:formatCode>General</c:formatCode>
                <c:ptCount val="111"/>
                <c:pt idx="0">
                  <c:v>1902.0</c:v>
                </c:pt>
                <c:pt idx="1">
                  <c:v>1903.0</c:v>
                </c:pt>
                <c:pt idx="2">
                  <c:v>1904.0</c:v>
                </c:pt>
                <c:pt idx="3">
                  <c:v>1905.0</c:v>
                </c:pt>
                <c:pt idx="4">
                  <c:v>1906.0</c:v>
                </c:pt>
                <c:pt idx="5">
                  <c:v>1907.0</c:v>
                </c:pt>
                <c:pt idx="6">
                  <c:v>1908.0</c:v>
                </c:pt>
                <c:pt idx="7">
                  <c:v>1909.0</c:v>
                </c:pt>
                <c:pt idx="8">
                  <c:v>1910.0</c:v>
                </c:pt>
                <c:pt idx="9">
                  <c:v>1911.0</c:v>
                </c:pt>
                <c:pt idx="10">
                  <c:v>1912.0</c:v>
                </c:pt>
                <c:pt idx="11">
                  <c:v>1913.0</c:v>
                </c:pt>
                <c:pt idx="12">
                  <c:v>1914.0</c:v>
                </c:pt>
                <c:pt idx="13">
                  <c:v>1915.0</c:v>
                </c:pt>
                <c:pt idx="14">
                  <c:v>1916.0</c:v>
                </c:pt>
                <c:pt idx="15">
                  <c:v>1917.0</c:v>
                </c:pt>
                <c:pt idx="16">
                  <c:v>1918.0</c:v>
                </c:pt>
                <c:pt idx="17">
                  <c:v>1919.0</c:v>
                </c:pt>
                <c:pt idx="18">
                  <c:v>1920.0</c:v>
                </c:pt>
                <c:pt idx="19">
                  <c:v>1921.0</c:v>
                </c:pt>
                <c:pt idx="20">
                  <c:v>1922.0</c:v>
                </c:pt>
                <c:pt idx="21">
                  <c:v>1923.0</c:v>
                </c:pt>
                <c:pt idx="22">
                  <c:v>1924.0</c:v>
                </c:pt>
                <c:pt idx="23">
                  <c:v>1925.0</c:v>
                </c:pt>
                <c:pt idx="24">
                  <c:v>1926.0</c:v>
                </c:pt>
                <c:pt idx="25">
                  <c:v>1927.0</c:v>
                </c:pt>
                <c:pt idx="26">
                  <c:v>1928.0</c:v>
                </c:pt>
                <c:pt idx="27">
                  <c:v>1929.0</c:v>
                </c:pt>
                <c:pt idx="28">
                  <c:v>1930.0</c:v>
                </c:pt>
                <c:pt idx="29">
                  <c:v>1931.0</c:v>
                </c:pt>
                <c:pt idx="30">
                  <c:v>1932.0</c:v>
                </c:pt>
                <c:pt idx="31">
                  <c:v>1933.0</c:v>
                </c:pt>
                <c:pt idx="32">
                  <c:v>1934.0</c:v>
                </c:pt>
                <c:pt idx="33">
                  <c:v>1935.0</c:v>
                </c:pt>
                <c:pt idx="34">
                  <c:v>1936.0</c:v>
                </c:pt>
                <c:pt idx="35">
                  <c:v>1937.0</c:v>
                </c:pt>
                <c:pt idx="36">
                  <c:v>1938.0</c:v>
                </c:pt>
                <c:pt idx="37">
                  <c:v>1939.0</c:v>
                </c:pt>
                <c:pt idx="38">
                  <c:v>1940.0</c:v>
                </c:pt>
                <c:pt idx="39">
                  <c:v>1941.0</c:v>
                </c:pt>
                <c:pt idx="40">
                  <c:v>1942.0</c:v>
                </c:pt>
                <c:pt idx="41">
                  <c:v>1943.0</c:v>
                </c:pt>
                <c:pt idx="42">
                  <c:v>1944.0</c:v>
                </c:pt>
                <c:pt idx="43">
                  <c:v>1945.0</c:v>
                </c:pt>
                <c:pt idx="44">
                  <c:v>1946.0</c:v>
                </c:pt>
                <c:pt idx="45">
                  <c:v>1947.0</c:v>
                </c:pt>
                <c:pt idx="46">
                  <c:v>1948.0</c:v>
                </c:pt>
                <c:pt idx="47">
                  <c:v>1949.0</c:v>
                </c:pt>
                <c:pt idx="48">
                  <c:v>1950.0</c:v>
                </c:pt>
                <c:pt idx="49">
                  <c:v>1951.0</c:v>
                </c:pt>
                <c:pt idx="50">
                  <c:v>1952.0</c:v>
                </c:pt>
                <c:pt idx="51">
                  <c:v>1953.0</c:v>
                </c:pt>
                <c:pt idx="52">
                  <c:v>1954.0</c:v>
                </c:pt>
                <c:pt idx="53">
                  <c:v>1955.0</c:v>
                </c:pt>
                <c:pt idx="54">
                  <c:v>1956.0</c:v>
                </c:pt>
                <c:pt idx="55">
                  <c:v>1957.0</c:v>
                </c:pt>
                <c:pt idx="56">
                  <c:v>1958.0</c:v>
                </c:pt>
                <c:pt idx="57">
                  <c:v>1959.0</c:v>
                </c:pt>
                <c:pt idx="58">
                  <c:v>1960.0</c:v>
                </c:pt>
                <c:pt idx="59">
                  <c:v>1961.0</c:v>
                </c:pt>
                <c:pt idx="60">
                  <c:v>1962.0</c:v>
                </c:pt>
                <c:pt idx="61">
                  <c:v>1963.0</c:v>
                </c:pt>
                <c:pt idx="62">
                  <c:v>1964.0</c:v>
                </c:pt>
                <c:pt idx="63">
                  <c:v>1965.0</c:v>
                </c:pt>
                <c:pt idx="64">
                  <c:v>1966.0</c:v>
                </c:pt>
                <c:pt idx="65">
                  <c:v>1967.0</c:v>
                </c:pt>
                <c:pt idx="66">
                  <c:v>1968.0</c:v>
                </c:pt>
                <c:pt idx="67">
                  <c:v>1969.0</c:v>
                </c:pt>
                <c:pt idx="68">
                  <c:v>1970.0</c:v>
                </c:pt>
                <c:pt idx="69">
                  <c:v>1971.0</c:v>
                </c:pt>
                <c:pt idx="70">
                  <c:v>1972.0</c:v>
                </c:pt>
                <c:pt idx="71">
                  <c:v>1973.0</c:v>
                </c:pt>
                <c:pt idx="72">
                  <c:v>1974.0</c:v>
                </c:pt>
                <c:pt idx="73">
                  <c:v>1975.0</c:v>
                </c:pt>
                <c:pt idx="74">
                  <c:v>1976.0</c:v>
                </c:pt>
                <c:pt idx="75">
                  <c:v>1977.0</c:v>
                </c:pt>
                <c:pt idx="76">
                  <c:v>1978.0</c:v>
                </c:pt>
                <c:pt idx="77">
                  <c:v>1979.0</c:v>
                </c:pt>
                <c:pt idx="78">
                  <c:v>1980.0</c:v>
                </c:pt>
                <c:pt idx="79">
                  <c:v>1981.0</c:v>
                </c:pt>
                <c:pt idx="80">
                  <c:v>1982.0</c:v>
                </c:pt>
                <c:pt idx="81">
                  <c:v>1983.0</c:v>
                </c:pt>
                <c:pt idx="82">
                  <c:v>1984.0</c:v>
                </c:pt>
                <c:pt idx="83">
                  <c:v>1985.0</c:v>
                </c:pt>
                <c:pt idx="84">
                  <c:v>1986.0</c:v>
                </c:pt>
                <c:pt idx="85">
                  <c:v>1987.0</c:v>
                </c:pt>
                <c:pt idx="86">
                  <c:v>1988.0</c:v>
                </c:pt>
                <c:pt idx="87">
                  <c:v>1989.0</c:v>
                </c:pt>
                <c:pt idx="88">
                  <c:v>1990.0</c:v>
                </c:pt>
                <c:pt idx="89">
                  <c:v>1991.0</c:v>
                </c:pt>
                <c:pt idx="90">
                  <c:v>1992.0</c:v>
                </c:pt>
                <c:pt idx="91">
                  <c:v>1993.0</c:v>
                </c:pt>
                <c:pt idx="92">
                  <c:v>1994.0</c:v>
                </c:pt>
                <c:pt idx="93">
                  <c:v>1995.0</c:v>
                </c:pt>
                <c:pt idx="94">
                  <c:v>1996.0</c:v>
                </c:pt>
                <c:pt idx="95">
                  <c:v>1997.0</c:v>
                </c:pt>
                <c:pt idx="96">
                  <c:v>1998.0</c:v>
                </c:pt>
                <c:pt idx="97">
                  <c:v>1999.0</c:v>
                </c:pt>
                <c:pt idx="98">
                  <c:v>2000.0</c:v>
                </c:pt>
                <c:pt idx="99">
                  <c:v>2001.0</c:v>
                </c:pt>
                <c:pt idx="100">
                  <c:v>2002.0</c:v>
                </c:pt>
                <c:pt idx="101">
                  <c:v>2003.0</c:v>
                </c:pt>
                <c:pt idx="102">
                  <c:v>2004.0</c:v>
                </c:pt>
                <c:pt idx="103">
                  <c:v>2005.0</c:v>
                </c:pt>
                <c:pt idx="104">
                  <c:v>2006.0</c:v>
                </c:pt>
                <c:pt idx="105">
                  <c:v>2007.0</c:v>
                </c:pt>
                <c:pt idx="106">
                  <c:v>2008.0</c:v>
                </c:pt>
                <c:pt idx="107">
                  <c:v>2009.0</c:v>
                </c:pt>
                <c:pt idx="108">
                  <c:v>2010.0</c:v>
                </c:pt>
                <c:pt idx="109">
                  <c:v>2011.0</c:v>
                </c:pt>
                <c:pt idx="110">
                  <c:v>2012.0</c:v>
                </c:pt>
              </c:numCache>
            </c:numRef>
          </c:cat>
          <c:val>
            <c:numRef>
              <c:f>'All modified'!$B$3:$B$113</c:f>
              <c:numCache>
                <c:formatCode>General</c:formatCode>
                <c:ptCount val="111"/>
                <c:pt idx="0">
                  <c:v>2.0</c:v>
                </c:pt>
                <c:pt idx="1">
                  <c:v>7.0</c:v>
                </c:pt>
                <c:pt idx="2">
                  <c:v>5.0</c:v>
                </c:pt>
                <c:pt idx="3">
                  <c:v>6.0</c:v>
                </c:pt>
                <c:pt idx="4">
                  <c:v>5.0</c:v>
                </c:pt>
                <c:pt idx="5">
                  <c:v>5.0</c:v>
                </c:pt>
                <c:pt idx="6">
                  <c:v>10.0</c:v>
                </c:pt>
                <c:pt idx="7">
                  <c:v>8.0</c:v>
                </c:pt>
                <c:pt idx="8">
                  <c:v>8.0</c:v>
                </c:pt>
                <c:pt idx="9">
                  <c:v>14.0</c:v>
                </c:pt>
                <c:pt idx="10">
                  <c:v>1.0</c:v>
                </c:pt>
                <c:pt idx="11">
                  <c:v>8.0</c:v>
                </c:pt>
                <c:pt idx="12">
                  <c:v>8.0</c:v>
                </c:pt>
                <c:pt idx="13">
                  <c:v>8.0</c:v>
                </c:pt>
                <c:pt idx="14">
                  <c:v>7.0</c:v>
                </c:pt>
                <c:pt idx="15">
                  <c:v>7.0</c:v>
                </c:pt>
                <c:pt idx="16">
                  <c:v>12.0</c:v>
                </c:pt>
                <c:pt idx="17">
                  <c:v>12.0</c:v>
                </c:pt>
                <c:pt idx="18">
                  <c:v>11.0</c:v>
                </c:pt>
                <c:pt idx="19">
                  <c:v>10.0</c:v>
                </c:pt>
                <c:pt idx="20">
                  <c:v>11.0</c:v>
                </c:pt>
                <c:pt idx="21">
                  <c:v>13.0</c:v>
                </c:pt>
                <c:pt idx="22">
                  <c:v>12.0</c:v>
                </c:pt>
                <c:pt idx="23">
                  <c:v>13.0</c:v>
                </c:pt>
                <c:pt idx="24">
                  <c:v>13.0</c:v>
                </c:pt>
                <c:pt idx="25">
                  <c:v>12.0</c:v>
                </c:pt>
                <c:pt idx="26">
                  <c:v>12.0</c:v>
                </c:pt>
                <c:pt idx="27">
                  <c:v>12.0</c:v>
                </c:pt>
                <c:pt idx="28">
                  <c:v>12.0</c:v>
                </c:pt>
                <c:pt idx="29">
                  <c:v>12.0</c:v>
                </c:pt>
                <c:pt idx="30">
                  <c:v>12.0</c:v>
                </c:pt>
                <c:pt idx="31">
                  <c:v>10.0</c:v>
                </c:pt>
                <c:pt idx="32">
                  <c:v>12.0</c:v>
                </c:pt>
                <c:pt idx="33">
                  <c:v>13.0</c:v>
                </c:pt>
                <c:pt idx="34">
                  <c:v>11.0</c:v>
                </c:pt>
                <c:pt idx="35">
                  <c:v>11.0</c:v>
                </c:pt>
                <c:pt idx="36">
                  <c:v>13.0</c:v>
                </c:pt>
                <c:pt idx="37">
                  <c:v>12.0</c:v>
                </c:pt>
                <c:pt idx="38">
                  <c:v>10.0</c:v>
                </c:pt>
                <c:pt idx="39">
                  <c:v>7.0</c:v>
                </c:pt>
                <c:pt idx="40">
                  <c:v>0.0</c:v>
                </c:pt>
                <c:pt idx="41">
                  <c:v>0.0</c:v>
                </c:pt>
                <c:pt idx="42">
                  <c:v>0.0</c:v>
                </c:pt>
                <c:pt idx="43">
                  <c:v>0.0</c:v>
                </c:pt>
                <c:pt idx="44">
                  <c:v>24.0</c:v>
                </c:pt>
                <c:pt idx="45">
                  <c:v>11.0</c:v>
                </c:pt>
                <c:pt idx="46">
                  <c:v>9.0</c:v>
                </c:pt>
                <c:pt idx="47">
                  <c:v>12.0</c:v>
                </c:pt>
                <c:pt idx="48">
                  <c:v>10.0</c:v>
                </c:pt>
                <c:pt idx="49">
                  <c:v>10.0</c:v>
                </c:pt>
                <c:pt idx="50">
                  <c:v>11.0</c:v>
                </c:pt>
                <c:pt idx="51">
                  <c:v>11.0</c:v>
                </c:pt>
                <c:pt idx="52">
                  <c:v>11.0</c:v>
                </c:pt>
                <c:pt idx="53">
                  <c:v>11.0</c:v>
                </c:pt>
                <c:pt idx="54">
                  <c:v>12.0</c:v>
                </c:pt>
                <c:pt idx="55">
                  <c:v>10.0</c:v>
                </c:pt>
                <c:pt idx="56">
                  <c:v>10.0</c:v>
                </c:pt>
                <c:pt idx="57">
                  <c:v>10.0</c:v>
                </c:pt>
                <c:pt idx="58">
                  <c:v>12.0</c:v>
                </c:pt>
                <c:pt idx="59">
                  <c:v>11.0</c:v>
                </c:pt>
                <c:pt idx="60">
                  <c:v>11.0</c:v>
                </c:pt>
                <c:pt idx="61">
                  <c:v>9.0</c:v>
                </c:pt>
                <c:pt idx="62">
                  <c:v>11.0</c:v>
                </c:pt>
                <c:pt idx="63">
                  <c:v>11.0</c:v>
                </c:pt>
                <c:pt idx="64">
                  <c:v>11.0</c:v>
                </c:pt>
                <c:pt idx="65">
                  <c:v>12.0</c:v>
                </c:pt>
                <c:pt idx="66">
                  <c:v>11.0</c:v>
                </c:pt>
                <c:pt idx="67">
                  <c:v>11.0</c:v>
                </c:pt>
                <c:pt idx="68">
                  <c:v>11.0</c:v>
                </c:pt>
                <c:pt idx="69">
                  <c:v>11.0</c:v>
                </c:pt>
                <c:pt idx="70">
                  <c:v>10.0</c:v>
                </c:pt>
                <c:pt idx="71">
                  <c:v>12.0</c:v>
                </c:pt>
                <c:pt idx="72">
                  <c:v>12.0</c:v>
                </c:pt>
                <c:pt idx="73">
                  <c:v>8.0</c:v>
                </c:pt>
                <c:pt idx="74">
                  <c:v>10.0</c:v>
                </c:pt>
                <c:pt idx="75">
                  <c:v>11.0</c:v>
                </c:pt>
                <c:pt idx="76">
                  <c:v>10.0</c:v>
                </c:pt>
                <c:pt idx="77">
                  <c:v>10.0</c:v>
                </c:pt>
                <c:pt idx="78">
                  <c:v>11.0</c:v>
                </c:pt>
                <c:pt idx="79">
                  <c:v>11.0</c:v>
                </c:pt>
                <c:pt idx="80">
                  <c:v>12.0</c:v>
                </c:pt>
                <c:pt idx="81">
                  <c:v>12.0</c:v>
                </c:pt>
                <c:pt idx="82">
                  <c:v>10.0</c:v>
                </c:pt>
                <c:pt idx="83">
                  <c:v>13.0</c:v>
                </c:pt>
                <c:pt idx="84">
                  <c:v>11.0</c:v>
                </c:pt>
                <c:pt idx="85">
                  <c:v>13.0</c:v>
                </c:pt>
                <c:pt idx="86">
                  <c:v>8.0</c:v>
                </c:pt>
                <c:pt idx="87">
                  <c:v>11.0</c:v>
                </c:pt>
                <c:pt idx="88">
                  <c:v>12.0</c:v>
                </c:pt>
                <c:pt idx="89">
                  <c:v>10.0</c:v>
                </c:pt>
                <c:pt idx="90">
                  <c:v>12.0</c:v>
                </c:pt>
                <c:pt idx="91">
                  <c:v>12.0</c:v>
                </c:pt>
                <c:pt idx="92">
                  <c:v>11.0</c:v>
                </c:pt>
                <c:pt idx="93">
                  <c:v>12.0</c:v>
                </c:pt>
                <c:pt idx="94">
                  <c:v>12.0</c:v>
                </c:pt>
                <c:pt idx="95">
                  <c:v>13.0</c:v>
                </c:pt>
                <c:pt idx="96">
                  <c:v>12.0</c:v>
                </c:pt>
                <c:pt idx="97">
                  <c:v>12.0</c:v>
                </c:pt>
                <c:pt idx="98">
                  <c:v>11.0</c:v>
                </c:pt>
                <c:pt idx="99">
                  <c:v>12.0</c:v>
                </c:pt>
                <c:pt idx="100">
                  <c:v>13.0</c:v>
                </c:pt>
                <c:pt idx="101">
                  <c:v>13.0</c:v>
                </c:pt>
                <c:pt idx="102">
                  <c:v>13.0</c:v>
                </c:pt>
                <c:pt idx="103">
                  <c:v>13.0</c:v>
                </c:pt>
                <c:pt idx="104">
                  <c:v>13.0</c:v>
                </c:pt>
                <c:pt idx="105">
                  <c:v>13.0</c:v>
                </c:pt>
                <c:pt idx="106">
                  <c:v>12.0</c:v>
                </c:pt>
                <c:pt idx="107">
                  <c:v>14.0</c:v>
                </c:pt>
                <c:pt idx="108">
                  <c:v>11.0</c:v>
                </c:pt>
                <c:pt idx="109">
                  <c:v>14.0</c:v>
                </c:pt>
                <c:pt idx="110">
                  <c:v>12.0</c:v>
                </c:pt>
              </c:numCache>
            </c:numRef>
          </c:val>
        </c:ser>
        <c:ser>
          <c:idx val="1"/>
          <c:order val="1"/>
          <c:tx>
            <c:strRef>
              <c:f>'All modified'!$F$2</c:f>
              <c:strCache>
                <c:ptCount val="1"/>
                <c:pt idx="0">
                  <c:v>USA</c:v>
                </c:pt>
              </c:strCache>
            </c:strRef>
          </c:tx>
          <c:spPr>
            <a:solidFill>
              <a:srgbClr val="0000FF"/>
            </a:solidFill>
          </c:spPr>
          <c:invertIfNegative val="0"/>
          <c:val>
            <c:numRef>
              <c:f>'All modified'!$F$3:$F$113</c:f>
              <c:numCache>
                <c:formatCode>General</c:formatCode>
                <c:ptCount val="111"/>
                <c:pt idx="0">
                  <c:v>0.0</c:v>
                </c:pt>
                <c:pt idx="1">
                  <c:v>0.0</c:v>
                </c:pt>
                <c:pt idx="2">
                  <c:v>43.0</c:v>
                </c:pt>
                <c:pt idx="3">
                  <c:v>38.0</c:v>
                </c:pt>
                <c:pt idx="4">
                  <c:v>0.0</c:v>
                </c:pt>
                <c:pt idx="5">
                  <c:v>45.0</c:v>
                </c:pt>
                <c:pt idx="6">
                  <c:v>45.0</c:v>
                </c:pt>
                <c:pt idx="7">
                  <c:v>0.0</c:v>
                </c:pt>
                <c:pt idx="8">
                  <c:v>44.0</c:v>
                </c:pt>
                <c:pt idx="9">
                  <c:v>47.0</c:v>
                </c:pt>
                <c:pt idx="10">
                  <c:v>0.0</c:v>
                </c:pt>
                <c:pt idx="11">
                  <c:v>43.0</c:v>
                </c:pt>
                <c:pt idx="12">
                  <c:v>47.0</c:v>
                </c:pt>
                <c:pt idx="13">
                  <c:v>0.0</c:v>
                </c:pt>
                <c:pt idx="14">
                  <c:v>32.0</c:v>
                </c:pt>
                <c:pt idx="15">
                  <c:v>29.0</c:v>
                </c:pt>
                <c:pt idx="16">
                  <c:v>31.0</c:v>
                </c:pt>
                <c:pt idx="17">
                  <c:v>36.0</c:v>
                </c:pt>
                <c:pt idx="18">
                  <c:v>31.0</c:v>
                </c:pt>
                <c:pt idx="19">
                  <c:v>32.0</c:v>
                </c:pt>
                <c:pt idx="20">
                  <c:v>32.0</c:v>
                </c:pt>
                <c:pt idx="21">
                  <c:v>32.0</c:v>
                </c:pt>
                <c:pt idx="22">
                  <c:v>35.0</c:v>
                </c:pt>
                <c:pt idx="23">
                  <c:v>32.0</c:v>
                </c:pt>
                <c:pt idx="24">
                  <c:v>33.0</c:v>
                </c:pt>
                <c:pt idx="25">
                  <c:v>34.0</c:v>
                </c:pt>
                <c:pt idx="26">
                  <c:v>16.0</c:v>
                </c:pt>
                <c:pt idx="27">
                  <c:v>33.0</c:v>
                </c:pt>
                <c:pt idx="28">
                  <c:v>15.0</c:v>
                </c:pt>
                <c:pt idx="29">
                  <c:v>33.0</c:v>
                </c:pt>
                <c:pt idx="30">
                  <c:v>32.0</c:v>
                </c:pt>
                <c:pt idx="31">
                  <c:v>33.0</c:v>
                </c:pt>
                <c:pt idx="32">
                  <c:v>34.0</c:v>
                </c:pt>
                <c:pt idx="33">
                  <c:v>32.0</c:v>
                </c:pt>
                <c:pt idx="34">
                  <c:v>32.0</c:v>
                </c:pt>
                <c:pt idx="35">
                  <c:v>32.0</c:v>
                </c:pt>
                <c:pt idx="36">
                  <c:v>32.0</c:v>
                </c:pt>
                <c:pt idx="37">
                  <c:v>31.0</c:v>
                </c:pt>
                <c:pt idx="38">
                  <c:v>0.0</c:v>
                </c:pt>
                <c:pt idx="39">
                  <c:v>0.0</c:v>
                </c:pt>
                <c:pt idx="40">
                  <c:v>0.0</c:v>
                </c:pt>
                <c:pt idx="41">
                  <c:v>0.0</c:v>
                </c:pt>
                <c:pt idx="42">
                  <c:v>0.0</c:v>
                </c:pt>
                <c:pt idx="43">
                  <c:v>0.0</c:v>
                </c:pt>
                <c:pt idx="44">
                  <c:v>0.0</c:v>
                </c:pt>
                <c:pt idx="45">
                  <c:v>48.0</c:v>
                </c:pt>
                <c:pt idx="46">
                  <c:v>48.0</c:v>
                </c:pt>
                <c:pt idx="47">
                  <c:v>32.0</c:v>
                </c:pt>
                <c:pt idx="48">
                  <c:v>32.0</c:v>
                </c:pt>
                <c:pt idx="49">
                  <c:v>32.0</c:v>
                </c:pt>
                <c:pt idx="50">
                  <c:v>32.0</c:v>
                </c:pt>
                <c:pt idx="51">
                  <c:v>32.0</c:v>
                </c:pt>
                <c:pt idx="52">
                  <c:v>32.0</c:v>
                </c:pt>
                <c:pt idx="53">
                  <c:v>32.0</c:v>
                </c:pt>
                <c:pt idx="54">
                  <c:v>32.0</c:v>
                </c:pt>
                <c:pt idx="55">
                  <c:v>31.0</c:v>
                </c:pt>
                <c:pt idx="56">
                  <c:v>32.0</c:v>
                </c:pt>
                <c:pt idx="57">
                  <c:v>32.0</c:v>
                </c:pt>
                <c:pt idx="58">
                  <c:v>32.0</c:v>
                </c:pt>
                <c:pt idx="59">
                  <c:v>31.0</c:v>
                </c:pt>
                <c:pt idx="60">
                  <c:v>32.0</c:v>
                </c:pt>
                <c:pt idx="61">
                  <c:v>32.0</c:v>
                </c:pt>
                <c:pt idx="62">
                  <c:v>32.0</c:v>
                </c:pt>
                <c:pt idx="63">
                  <c:v>32.0</c:v>
                </c:pt>
                <c:pt idx="64">
                  <c:v>32.0</c:v>
                </c:pt>
                <c:pt idx="65">
                  <c:v>32.0</c:v>
                </c:pt>
                <c:pt idx="66">
                  <c:v>32.0</c:v>
                </c:pt>
                <c:pt idx="67">
                  <c:v>32.0</c:v>
                </c:pt>
                <c:pt idx="68">
                  <c:v>31.0</c:v>
                </c:pt>
                <c:pt idx="69">
                  <c:v>33.0</c:v>
                </c:pt>
                <c:pt idx="70">
                  <c:v>32.0</c:v>
                </c:pt>
                <c:pt idx="71">
                  <c:v>32.0</c:v>
                </c:pt>
                <c:pt idx="72">
                  <c:v>31.0</c:v>
                </c:pt>
                <c:pt idx="73">
                  <c:v>31.0</c:v>
                </c:pt>
                <c:pt idx="74">
                  <c:v>32.0</c:v>
                </c:pt>
                <c:pt idx="75">
                  <c:v>32.0</c:v>
                </c:pt>
                <c:pt idx="76">
                  <c:v>31.0</c:v>
                </c:pt>
                <c:pt idx="77">
                  <c:v>31.0</c:v>
                </c:pt>
                <c:pt idx="78">
                  <c:v>32.0</c:v>
                </c:pt>
                <c:pt idx="79">
                  <c:v>31.0</c:v>
                </c:pt>
                <c:pt idx="80">
                  <c:v>32.0</c:v>
                </c:pt>
                <c:pt idx="81">
                  <c:v>32.0</c:v>
                </c:pt>
                <c:pt idx="82">
                  <c:v>32.0</c:v>
                </c:pt>
                <c:pt idx="83">
                  <c:v>32.0</c:v>
                </c:pt>
                <c:pt idx="84">
                  <c:v>32.0</c:v>
                </c:pt>
                <c:pt idx="85">
                  <c:v>33.0</c:v>
                </c:pt>
                <c:pt idx="86">
                  <c:v>32.0</c:v>
                </c:pt>
                <c:pt idx="87">
                  <c:v>32.0</c:v>
                </c:pt>
                <c:pt idx="88">
                  <c:v>32.0</c:v>
                </c:pt>
                <c:pt idx="89">
                  <c:v>32.0</c:v>
                </c:pt>
                <c:pt idx="90">
                  <c:v>32.0</c:v>
                </c:pt>
                <c:pt idx="91">
                  <c:v>31.0</c:v>
                </c:pt>
                <c:pt idx="92">
                  <c:v>32.0</c:v>
                </c:pt>
                <c:pt idx="93">
                  <c:v>32.0</c:v>
                </c:pt>
                <c:pt idx="94">
                  <c:v>33.0</c:v>
                </c:pt>
                <c:pt idx="95">
                  <c:v>31.0</c:v>
                </c:pt>
                <c:pt idx="96">
                  <c:v>32.0</c:v>
                </c:pt>
                <c:pt idx="97">
                  <c:v>32.0</c:v>
                </c:pt>
                <c:pt idx="98">
                  <c:v>32.0</c:v>
                </c:pt>
                <c:pt idx="99">
                  <c:v>32.0</c:v>
                </c:pt>
                <c:pt idx="100">
                  <c:v>32.0</c:v>
                </c:pt>
                <c:pt idx="101">
                  <c:v>32.0</c:v>
                </c:pt>
                <c:pt idx="102">
                  <c:v>32.0</c:v>
                </c:pt>
                <c:pt idx="103">
                  <c:v>32.0</c:v>
                </c:pt>
                <c:pt idx="104">
                  <c:v>33.0</c:v>
                </c:pt>
                <c:pt idx="105">
                  <c:v>32.0</c:v>
                </c:pt>
                <c:pt idx="106">
                  <c:v>32.0</c:v>
                </c:pt>
                <c:pt idx="107">
                  <c:v>30.0</c:v>
                </c:pt>
                <c:pt idx="108">
                  <c:v>32.0</c:v>
                </c:pt>
                <c:pt idx="109">
                  <c:v>32.0</c:v>
                </c:pt>
                <c:pt idx="110">
                  <c:v>32.0</c:v>
                </c:pt>
              </c:numCache>
            </c:numRef>
          </c:val>
        </c:ser>
        <c:ser>
          <c:idx val="2"/>
          <c:order val="2"/>
          <c:tx>
            <c:strRef>
              <c:f>'All modified'!$G$2</c:f>
              <c:strCache>
                <c:ptCount val="1"/>
                <c:pt idx="0">
                  <c:v>Canada</c:v>
                </c:pt>
              </c:strCache>
            </c:strRef>
          </c:tx>
          <c:spPr>
            <a:solidFill>
              <a:srgbClr val="FF0000"/>
            </a:solidFill>
          </c:spPr>
          <c:invertIfNegative val="0"/>
          <c:val>
            <c:numRef>
              <c:f>'All modified'!$G$3:$G$113</c:f>
              <c:numCache>
                <c:formatCode>General</c:formatCode>
                <c:ptCount val="111"/>
                <c:pt idx="0">
                  <c:v>0.0</c:v>
                </c:pt>
                <c:pt idx="1">
                  <c:v>0.0</c:v>
                </c:pt>
                <c:pt idx="2">
                  <c:v>12.0</c:v>
                </c:pt>
                <c:pt idx="3">
                  <c:v>9.0</c:v>
                </c:pt>
                <c:pt idx="4">
                  <c:v>9.0</c:v>
                </c:pt>
                <c:pt idx="5">
                  <c:v>9.0</c:v>
                </c:pt>
                <c:pt idx="6">
                  <c:v>9.0</c:v>
                </c:pt>
                <c:pt idx="7">
                  <c:v>9.0</c:v>
                </c:pt>
                <c:pt idx="8">
                  <c:v>9.0</c:v>
                </c:pt>
                <c:pt idx="9">
                  <c:v>15.0</c:v>
                </c:pt>
                <c:pt idx="10">
                  <c:v>1.0</c:v>
                </c:pt>
                <c:pt idx="11">
                  <c:v>9.0</c:v>
                </c:pt>
                <c:pt idx="12">
                  <c:v>9.0</c:v>
                </c:pt>
                <c:pt idx="13">
                  <c:v>9.0</c:v>
                </c:pt>
                <c:pt idx="14">
                  <c:v>9.0</c:v>
                </c:pt>
                <c:pt idx="15">
                  <c:v>7.0</c:v>
                </c:pt>
                <c:pt idx="16">
                  <c:v>9.0</c:v>
                </c:pt>
                <c:pt idx="17">
                  <c:v>10.0</c:v>
                </c:pt>
                <c:pt idx="18">
                  <c:v>11.0</c:v>
                </c:pt>
                <c:pt idx="19">
                  <c:v>9.0</c:v>
                </c:pt>
                <c:pt idx="20">
                  <c:v>10.0</c:v>
                </c:pt>
                <c:pt idx="21">
                  <c:v>10.0</c:v>
                </c:pt>
                <c:pt idx="22">
                  <c:v>8.0</c:v>
                </c:pt>
                <c:pt idx="23">
                  <c:v>10.0</c:v>
                </c:pt>
                <c:pt idx="24">
                  <c:v>11.0</c:v>
                </c:pt>
                <c:pt idx="25">
                  <c:v>10.0</c:v>
                </c:pt>
                <c:pt idx="26">
                  <c:v>12.0</c:v>
                </c:pt>
                <c:pt idx="27">
                  <c:v>11.0</c:v>
                </c:pt>
                <c:pt idx="28">
                  <c:v>10.0</c:v>
                </c:pt>
                <c:pt idx="29">
                  <c:v>12.0</c:v>
                </c:pt>
                <c:pt idx="30">
                  <c:v>11.0</c:v>
                </c:pt>
                <c:pt idx="31">
                  <c:v>11.0</c:v>
                </c:pt>
                <c:pt idx="32">
                  <c:v>11.0</c:v>
                </c:pt>
                <c:pt idx="33">
                  <c:v>10.0</c:v>
                </c:pt>
                <c:pt idx="34">
                  <c:v>11.0</c:v>
                </c:pt>
                <c:pt idx="35">
                  <c:v>11.0</c:v>
                </c:pt>
                <c:pt idx="36">
                  <c:v>11.0</c:v>
                </c:pt>
                <c:pt idx="37">
                  <c:v>11.0</c:v>
                </c:pt>
                <c:pt idx="38">
                  <c:v>11.0</c:v>
                </c:pt>
                <c:pt idx="39">
                  <c:v>9.0</c:v>
                </c:pt>
                <c:pt idx="40">
                  <c:v>0.0</c:v>
                </c:pt>
                <c:pt idx="41">
                  <c:v>0.0</c:v>
                </c:pt>
                <c:pt idx="42">
                  <c:v>0.0</c:v>
                </c:pt>
                <c:pt idx="43">
                  <c:v>0.0</c:v>
                </c:pt>
                <c:pt idx="44">
                  <c:v>20.0</c:v>
                </c:pt>
                <c:pt idx="45">
                  <c:v>11.0</c:v>
                </c:pt>
                <c:pt idx="46">
                  <c:v>11.0</c:v>
                </c:pt>
                <c:pt idx="47">
                  <c:v>11.0</c:v>
                </c:pt>
                <c:pt idx="48">
                  <c:v>10.0</c:v>
                </c:pt>
                <c:pt idx="49">
                  <c:v>11.0</c:v>
                </c:pt>
                <c:pt idx="50">
                  <c:v>11.0</c:v>
                </c:pt>
                <c:pt idx="51">
                  <c:v>11.0</c:v>
                </c:pt>
                <c:pt idx="52">
                  <c:v>11.0</c:v>
                </c:pt>
                <c:pt idx="53">
                  <c:v>11.0</c:v>
                </c:pt>
                <c:pt idx="54">
                  <c:v>10.0</c:v>
                </c:pt>
                <c:pt idx="55">
                  <c:v>11.0</c:v>
                </c:pt>
                <c:pt idx="56">
                  <c:v>11.0</c:v>
                </c:pt>
                <c:pt idx="57">
                  <c:v>12.0</c:v>
                </c:pt>
                <c:pt idx="58">
                  <c:v>11.0</c:v>
                </c:pt>
                <c:pt idx="59">
                  <c:v>11.0</c:v>
                </c:pt>
                <c:pt idx="60">
                  <c:v>11.0</c:v>
                </c:pt>
                <c:pt idx="61">
                  <c:v>11.0</c:v>
                </c:pt>
                <c:pt idx="62">
                  <c:v>11.0</c:v>
                </c:pt>
                <c:pt idx="63">
                  <c:v>11.0</c:v>
                </c:pt>
                <c:pt idx="64">
                  <c:v>11.0</c:v>
                </c:pt>
                <c:pt idx="65">
                  <c:v>11.0</c:v>
                </c:pt>
                <c:pt idx="66">
                  <c:v>10.0</c:v>
                </c:pt>
                <c:pt idx="67">
                  <c:v>11.0</c:v>
                </c:pt>
                <c:pt idx="68">
                  <c:v>10.0</c:v>
                </c:pt>
                <c:pt idx="69">
                  <c:v>10.0</c:v>
                </c:pt>
                <c:pt idx="70">
                  <c:v>11.0</c:v>
                </c:pt>
                <c:pt idx="71">
                  <c:v>11.0</c:v>
                </c:pt>
                <c:pt idx="72">
                  <c:v>11.0</c:v>
                </c:pt>
                <c:pt idx="73">
                  <c:v>12.0</c:v>
                </c:pt>
                <c:pt idx="74">
                  <c:v>11.0</c:v>
                </c:pt>
                <c:pt idx="75">
                  <c:v>11.0</c:v>
                </c:pt>
                <c:pt idx="76">
                  <c:v>11.0</c:v>
                </c:pt>
                <c:pt idx="77">
                  <c:v>11.0</c:v>
                </c:pt>
                <c:pt idx="78">
                  <c:v>11.0</c:v>
                </c:pt>
                <c:pt idx="79">
                  <c:v>11.0</c:v>
                </c:pt>
                <c:pt idx="80">
                  <c:v>10.0</c:v>
                </c:pt>
                <c:pt idx="81">
                  <c:v>12.0</c:v>
                </c:pt>
                <c:pt idx="82">
                  <c:v>10.0</c:v>
                </c:pt>
                <c:pt idx="83">
                  <c:v>10.0</c:v>
                </c:pt>
                <c:pt idx="84">
                  <c:v>12.0</c:v>
                </c:pt>
                <c:pt idx="85">
                  <c:v>11.0</c:v>
                </c:pt>
                <c:pt idx="86">
                  <c:v>12.0</c:v>
                </c:pt>
                <c:pt idx="87">
                  <c:v>11.0</c:v>
                </c:pt>
                <c:pt idx="88">
                  <c:v>11.0</c:v>
                </c:pt>
                <c:pt idx="89">
                  <c:v>11.0</c:v>
                </c:pt>
                <c:pt idx="90">
                  <c:v>11.0</c:v>
                </c:pt>
                <c:pt idx="91">
                  <c:v>11.0</c:v>
                </c:pt>
                <c:pt idx="92">
                  <c:v>11.0</c:v>
                </c:pt>
                <c:pt idx="93">
                  <c:v>11.0</c:v>
                </c:pt>
                <c:pt idx="94">
                  <c:v>11.0</c:v>
                </c:pt>
                <c:pt idx="95">
                  <c:v>11.0</c:v>
                </c:pt>
                <c:pt idx="96">
                  <c:v>11.0</c:v>
                </c:pt>
                <c:pt idx="97">
                  <c:v>11.0</c:v>
                </c:pt>
                <c:pt idx="98">
                  <c:v>11.0</c:v>
                </c:pt>
                <c:pt idx="99">
                  <c:v>10.0</c:v>
                </c:pt>
                <c:pt idx="100">
                  <c:v>11.0</c:v>
                </c:pt>
                <c:pt idx="101">
                  <c:v>11.0</c:v>
                </c:pt>
                <c:pt idx="102">
                  <c:v>11.0</c:v>
                </c:pt>
                <c:pt idx="103">
                  <c:v>11.0</c:v>
                </c:pt>
                <c:pt idx="104">
                  <c:v>11.0</c:v>
                </c:pt>
                <c:pt idx="105">
                  <c:v>11.0</c:v>
                </c:pt>
                <c:pt idx="106">
                  <c:v>11.0</c:v>
                </c:pt>
                <c:pt idx="107">
                  <c:v>11.0</c:v>
                </c:pt>
                <c:pt idx="108">
                  <c:v>11.0</c:v>
                </c:pt>
                <c:pt idx="109">
                  <c:v>11.0</c:v>
                </c:pt>
                <c:pt idx="110">
                  <c:v>11.0</c:v>
                </c:pt>
              </c:numCache>
            </c:numRef>
          </c:val>
        </c:ser>
        <c:ser>
          <c:idx val="3"/>
          <c:order val="3"/>
          <c:tx>
            <c:strRef>
              <c:f>'All modified'!$H$2</c:f>
              <c:strCache>
                <c:ptCount val="1"/>
                <c:pt idx="0">
                  <c:v>Australia &amp; NZ</c:v>
                </c:pt>
              </c:strCache>
            </c:strRef>
          </c:tx>
          <c:spPr>
            <a:solidFill>
              <a:srgbClr val="FFFF00"/>
            </a:solidFill>
          </c:spPr>
          <c:invertIfNegative val="0"/>
          <c:val>
            <c:numRef>
              <c:f>'All modified'!$H$3:$H$113</c:f>
              <c:numCache>
                <c:formatCode>General</c:formatCode>
                <c:ptCount val="111"/>
                <c:pt idx="0">
                  <c:v>0.0</c:v>
                </c:pt>
                <c:pt idx="1">
                  <c:v>0.0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8.0</c:v>
                </c:pt>
                <c:pt idx="19">
                  <c:v>7.0</c:v>
                </c:pt>
                <c:pt idx="20">
                  <c:v>7.0</c:v>
                </c:pt>
                <c:pt idx="21">
                  <c:v>7.0</c:v>
                </c:pt>
                <c:pt idx="22">
                  <c:v>7.0</c:v>
                </c:pt>
                <c:pt idx="23">
                  <c:v>7.0</c:v>
                </c:pt>
                <c:pt idx="24">
                  <c:v>7.0</c:v>
                </c:pt>
                <c:pt idx="25">
                  <c:v>8.0</c:v>
                </c:pt>
                <c:pt idx="26">
                  <c:v>7.0</c:v>
                </c:pt>
                <c:pt idx="27">
                  <c:v>8.0</c:v>
                </c:pt>
                <c:pt idx="28">
                  <c:v>9.0</c:v>
                </c:pt>
                <c:pt idx="29">
                  <c:v>8.0</c:v>
                </c:pt>
                <c:pt idx="30">
                  <c:v>8.0</c:v>
                </c:pt>
                <c:pt idx="31">
                  <c:v>6.0</c:v>
                </c:pt>
                <c:pt idx="32">
                  <c:v>9.0</c:v>
                </c:pt>
                <c:pt idx="33">
                  <c:v>9.0</c:v>
                </c:pt>
                <c:pt idx="34">
                  <c:v>8.0</c:v>
                </c:pt>
                <c:pt idx="35">
                  <c:v>8.0</c:v>
                </c:pt>
                <c:pt idx="36">
                  <c:v>8.0</c:v>
                </c:pt>
                <c:pt idx="37">
                  <c:v>8.0</c:v>
                </c:pt>
                <c:pt idx="38">
                  <c:v>8.0</c:v>
                </c:pt>
                <c:pt idx="39">
                  <c:v>7.0</c:v>
                </c:pt>
                <c:pt idx="40">
                  <c:v>0.0</c:v>
                </c:pt>
                <c:pt idx="41">
                  <c:v>0.0</c:v>
                </c:pt>
                <c:pt idx="42">
                  <c:v>0.0</c:v>
                </c:pt>
                <c:pt idx="43">
                  <c:v>0.0</c:v>
                </c:pt>
                <c:pt idx="44">
                  <c:v>14.0</c:v>
                </c:pt>
                <c:pt idx="45">
                  <c:v>8.0</c:v>
                </c:pt>
                <c:pt idx="46">
                  <c:v>8.0</c:v>
                </c:pt>
                <c:pt idx="47">
                  <c:v>9.0</c:v>
                </c:pt>
                <c:pt idx="48">
                  <c:v>7.0</c:v>
                </c:pt>
                <c:pt idx="49">
                  <c:v>7.0</c:v>
                </c:pt>
                <c:pt idx="50">
                  <c:v>8.0</c:v>
                </c:pt>
                <c:pt idx="51">
                  <c:v>8.0</c:v>
                </c:pt>
                <c:pt idx="52">
                  <c:v>8.0</c:v>
                </c:pt>
                <c:pt idx="53">
                  <c:v>7.0</c:v>
                </c:pt>
                <c:pt idx="54">
                  <c:v>8.0</c:v>
                </c:pt>
                <c:pt idx="55">
                  <c:v>8.0</c:v>
                </c:pt>
                <c:pt idx="56">
                  <c:v>8.0</c:v>
                </c:pt>
                <c:pt idx="57">
                  <c:v>8.0</c:v>
                </c:pt>
                <c:pt idx="58">
                  <c:v>7.0</c:v>
                </c:pt>
                <c:pt idx="59">
                  <c:v>8.0</c:v>
                </c:pt>
                <c:pt idx="60">
                  <c:v>8.0</c:v>
                </c:pt>
                <c:pt idx="61">
                  <c:v>8.0</c:v>
                </c:pt>
                <c:pt idx="62">
                  <c:v>8.0</c:v>
                </c:pt>
                <c:pt idx="63">
                  <c:v>8.0</c:v>
                </c:pt>
                <c:pt idx="64">
                  <c:v>8.0</c:v>
                </c:pt>
                <c:pt idx="65">
                  <c:v>8.0</c:v>
                </c:pt>
                <c:pt idx="66">
                  <c:v>8.0</c:v>
                </c:pt>
                <c:pt idx="67">
                  <c:v>8.0</c:v>
                </c:pt>
                <c:pt idx="68">
                  <c:v>8.0</c:v>
                </c:pt>
                <c:pt idx="69">
                  <c:v>8.0</c:v>
                </c:pt>
                <c:pt idx="70">
                  <c:v>7.0</c:v>
                </c:pt>
                <c:pt idx="71">
                  <c:v>8.0</c:v>
                </c:pt>
                <c:pt idx="72">
                  <c:v>8.0</c:v>
                </c:pt>
                <c:pt idx="73">
                  <c:v>8.0</c:v>
                </c:pt>
                <c:pt idx="74">
                  <c:v>8.0</c:v>
                </c:pt>
                <c:pt idx="75">
                  <c:v>8.0</c:v>
                </c:pt>
                <c:pt idx="76">
                  <c:v>9.0</c:v>
                </c:pt>
                <c:pt idx="77">
                  <c:v>9.0</c:v>
                </c:pt>
                <c:pt idx="78">
                  <c:v>8.0</c:v>
                </c:pt>
                <c:pt idx="79">
                  <c:v>10.0</c:v>
                </c:pt>
                <c:pt idx="80">
                  <c:v>9.0</c:v>
                </c:pt>
                <c:pt idx="81">
                  <c:v>8.0</c:v>
                </c:pt>
                <c:pt idx="82">
                  <c:v>10.0</c:v>
                </c:pt>
                <c:pt idx="83">
                  <c:v>8.0</c:v>
                </c:pt>
                <c:pt idx="84">
                  <c:v>9.0</c:v>
                </c:pt>
                <c:pt idx="85">
                  <c:v>9.0</c:v>
                </c:pt>
                <c:pt idx="86">
                  <c:v>9.0</c:v>
                </c:pt>
                <c:pt idx="87">
                  <c:v>10.0</c:v>
                </c:pt>
                <c:pt idx="88">
                  <c:v>10.0</c:v>
                </c:pt>
                <c:pt idx="89">
                  <c:v>10.0</c:v>
                </c:pt>
                <c:pt idx="90">
                  <c:v>12.0</c:v>
                </c:pt>
                <c:pt idx="91">
                  <c:v>12.0</c:v>
                </c:pt>
                <c:pt idx="92">
                  <c:v>12.0</c:v>
                </c:pt>
                <c:pt idx="93">
                  <c:v>12.0</c:v>
                </c:pt>
                <c:pt idx="94">
                  <c:v>10.0</c:v>
                </c:pt>
                <c:pt idx="95">
                  <c:v>12.0</c:v>
                </c:pt>
                <c:pt idx="96">
                  <c:v>12.0</c:v>
                </c:pt>
                <c:pt idx="97">
                  <c:v>12.0</c:v>
                </c:pt>
                <c:pt idx="98">
                  <c:v>13.0</c:v>
                </c:pt>
                <c:pt idx="99">
                  <c:v>12.0</c:v>
                </c:pt>
                <c:pt idx="100">
                  <c:v>12.0</c:v>
                </c:pt>
                <c:pt idx="101">
                  <c:v>12.0</c:v>
                </c:pt>
                <c:pt idx="102">
                  <c:v>12.0</c:v>
                </c:pt>
                <c:pt idx="103">
                  <c:v>14.0</c:v>
                </c:pt>
                <c:pt idx="104">
                  <c:v>14.0</c:v>
                </c:pt>
                <c:pt idx="105">
                  <c:v>12.0</c:v>
                </c:pt>
                <c:pt idx="106">
                  <c:v>12.0</c:v>
                </c:pt>
                <c:pt idx="107">
                  <c:v>11.0</c:v>
                </c:pt>
                <c:pt idx="108">
                  <c:v>12.0</c:v>
                </c:pt>
                <c:pt idx="109">
                  <c:v>12.0</c:v>
                </c:pt>
                <c:pt idx="110">
                  <c:v>12.0</c:v>
                </c:pt>
              </c:numCache>
            </c:numRef>
          </c:val>
        </c:ser>
        <c:ser>
          <c:idx val="4"/>
          <c:order val="4"/>
          <c:tx>
            <c:strRef>
              <c:f>'All modified'!$K$2</c:f>
              <c:strCache>
                <c:ptCount val="1"/>
                <c:pt idx="0">
                  <c:v>Germany</c:v>
                </c:pt>
              </c:strCache>
            </c:strRef>
          </c:tx>
          <c:spPr>
            <a:solidFill>
              <a:schemeClr val="tx1"/>
            </a:solidFill>
          </c:spPr>
          <c:invertIfNegative val="0"/>
          <c:val>
            <c:numRef>
              <c:f>'All modified'!$K$3:$K$113</c:f>
              <c:numCache>
                <c:formatCode>General</c:formatCode>
                <c:ptCount val="111"/>
                <c:pt idx="0">
                  <c:v>0.0</c:v>
                </c:pt>
                <c:pt idx="1">
                  <c:v>5.0</c:v>
                </c:pt>
                <c:pt idx="2">
                  <c:v>5.0</c:v>
                </c:pt>
                <c:pt idx="3">
                  <c:v>5.0</c:v>
                </c:pt>
                <c:pt idx="4">
                  <c:v>5.0</c:v>
                </c:pt>
                <c:pt idx="5">
                  <c:v>5.0</c:v>
                </c:pt>
                <c:pt idx="6">
                  <c:v>5.0</c:v>
                </c:pt>
                <c:pt idx="7">
                  <c:v>5.0</c:v>
                </c:pt>
                <c:pt idx="8">
                  <c:v>5.0</c:v>
                </c:pt>
                <c:pt idx="9">
                  <c:v>12.0</c:v>
                </c:pt>
                <c:pt idx="10">
                  <c:v>0.0</c:v>
                </c:pt>
                <c:pt idx="11">
                  <c:v>7.0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2.0</c:v>
                </c:pt>
                <c:pt idx="29">
                  <c:v>2.0</c:v>
                </c:pt>
                <c:pt idx="30">
                  <c:v>2.0</c:v>
                </c:pt>
                <c:pt idx="31">
                  <c:v>2.0</c:v>
                </c:pt>
                <c:pt idx="32">
                  <c:v>2.0</c:v>
                </c:pt>
                <c:pt idx="33">
                  <c:v>2.0</c:v>
                </c:pt>
                <c:pt idx="34">
                  <c:v>2.0</c:v>
                </c:pt>
                <c:pt idx="35">
                  <c:v>2.0</c:v>
                </c:pt>
                <c:pt idx="36">
                  <c:v>2.0</c:v>
                </c:pt>
                <c:pt idx="37">
                  <c:v>2.0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2.0</c:v>
                </c:pt>
                <c:pt idx="69">
                  <c:v>2.0</c:v>
                </c:pt>
                <c:pt idx="70">
                  <c:v>2.0</c:v>
                </c:pt>
                <c:pt idx="71">
                  <c:v>2.0</c:v>
                </c:pt>
                <c:pt idx="72">
                  <c:v>2.0</c:v>
                </c:pt>
                <c:pt idx="73">
                  <c:v>2.0</c:v>
                </c:pt>
                <c:pt idx="74">
                  <c:v>2.0</c:v>
                </c:pt>
                <c:pt idx="75">
                  <c:v>2.0</c:v>
                </c:pt>
                <c:pt idx="76">
                  <c:v>2.0</c:v>
                </c:pt>
                <c:pt idx="77">
                  <c:v>2.0</c:v>
                </c:pt>
                <c:pt idx="78">
                  <c:v>1.0</c:v>
                </c:pt>
                <c:pt idx="79">
                  <c:v>2.0</c:v>
                </c:pt>
                <c:pt idx="80">
                  <c:v>2.0</c:v>
                </c:pt>
                <c:pt idx="81">
                  <c:v>2.0</c:v>
                </c:pt>
                <c:pt idx="82">
                  <c:v>2.0</c:v>
                </c:pt>
                <c:pt idx="83">
                  <c:v>2.0</c:v>
                </c:pt>
                <c:pt idx="84">
                  <c:v>2.0</c:v>
                </c:pt>
                <c:pt idx="85">
                  <c:v>2.0</c:v>
                </c:pt>
                <c:pt idx="86">
                  <c:v>2.0</c:v>
                </c:pt>
                <c:pt idx="87">
                  <c:v>1.0</c:v>
                </c:pt>
                <c:pt idx="88">
                  <c:v>2.0</c:v>
                </c:pt>
                <c:pt idx="89">
                  <c:v>3.0</c:v>
                </c:pt>
                <c:pt idx="90">
                  <c:v>3.0</c:v>
                </c:pt>
                <c:pt idx="91">
                  <c:v>4.0</c:v>
                </c:pt>
                <c:pt idx="92">
                  <c:v>3.0</c:v>
                </c:pt>
                <c:pt idx="93">
                  <c:v>3.0</c:v>
                </c:pt>
                <c:pt idx="94">
                  <c:v>4.0</c:v>
                </c:pt>
                <c:pt idx="95">
                  <c:v>4.0</c:v>
                </c:pt>
                <c:pt idx="96">
                  <c:v>4.0</c:v>
                </c:pt>
                <c:pt idx="97">
                  <c:v>4.0</c:v>
                </c:pt>
                <c:pt idx="98">
                  <c:v>4.0</c:v>
                </c:pt>
                <c:pt idx="99">
                  <c:v>4.0</c:v>
                </c:pt>
                <c:pt idx="100">
                  <c:v>4.0</c:v>
                </c:pt>
                <c:pt idx="101">
                  <c:v>4.0</c:v>
                </c:pt>
                <c:pt idx="102">
                  <c:v>4.0</c:v>
                </c:pt>
                <c:pt idx="103">
                  <c:v>4.0</c:v>
                </c:pt>
                <c:pt idx="104">
                  <c:v>2.0</c:v>
                </c:pt>
                <c:pt idx="105">
                  <c:v>2.0</c:v>
                </c:pt>
                <c:pt idx="106">
                  <c:v>2.0</c:v>
                </c:pt>
                <c:pt idx="107">
                  <c:v>2.0</c:v>
                </c:pt>
                <c:pt idx="108">
                  <c:v>2.0</c:v>
                </c:pt>
                <c:pt idx="109">
                  <c:v>2.0</c:v>
                </c:pt>
                <c:pt idx="110">
                  <c:v>2.0</c:v>
                </c:pt>
              </c:numCache>
            </c:numRef>
          </c:val>
        </c:ser>
        <c:ser>
          <c:idx val="5"/>
          <c:order val="5"/>
          <c:tx>
            <c:strRef>
              <c:f>'All modified'!$L$2</c:f>
              <c:strCache>
                <c:ptCount val="1"/>
                <c:pt idx="0">
                  <c:v>Bermuda &amp; Caribbean</c:v>
                </c:pt>
              </c:strCache>
            </c:strRef>
          </c:tx>
          <c:spPr>
            <a:solidFill>
              <a:srgbClr val="FF8000"/>
            </a:solidFill>
          </c:spPr>
          <c:invertIfNegative val="0"/>
          <c:val>
            <c:numRef>
              <c:f>'All modified'!$L$3:$L$113</c:f>
              <c:numCache>
                <c:formatCode>General</c:formatCode>
                <c:ptCount val="111"/>
                <c:pt idx="0">
                  <c:v>0.0</c:v>
                </c:pt>
                <c:pt idx="1">
                  <c:v>0.0</c:v>
                </c:pt>
                <c:pt idx="2">
                  <c:v>2.0</c:v>
                </c:pt>
                <c:pt idx="3">
                  <c:v>1.0</c:v>
                </c:pt>
                <c:pt idx="4">
                  <c:v>2.0</c:v>
                </c:pt>
                <c:pt idx="5">
                  <c:v>2.0</c:v>
                </c:pt>
                <c:pt idx="6">
                  <c:v>2.0</c:v>
                </c:pt>
                <c:pt idx="7">
                  <c:v>2.0</c:v>
                </c:pt>
                <c:pt idx="8">
                  <c:v>2.0</c:v>
                </c:pt>
                <c:pt idx="9">
                  <c:v>3.0</c:v>
                </c:pt>
                <c:pt idx="10">
                  <c:v>1.0</c:v>
                </c:pt>
                <c:pt idx="11">
                  <c:v>2.0</c:v>
                </c:pt>
                <c:pt idx="12">
                  <c:v>2.0</c:v>
                </c:pt>
                <c:pt idx="13">
                  <c:v>2.0</c:v>
                </c:pt>
                <c:pt idx="14">
                  <c:v>2.0</c:v>
                </c:pt>
                <c:pt idx="15">
                  <c:v>2.0</c:v>
                </c:pt>
                <c:pt idx="16">
                  <c:v>2.0</c:v>
                </c:pt>
                <c:pt idx="17">
                  <c:v>1.0</c:v>
                </c:pt>
                <c:pt idx="18">
                  <c:v>1.0</c:v>
                </c:pt>
                <c:pt idx="19">
                  <c:v>2.0</c:v>
                </c:pt>
                <c:pt idx="20">
                  <c:v>2.0</c:v>
                </c:pt>
                <c:pt idx="21">
                  <c:v>2.0</c:v>
                </c:pt>
                <c:pt idx="22">
                  <c:v>2.0</c:v>
                </c:pt>
                <c:pt idx="23">
                  <c:v>2.0</c:v>
                </c:pt>
                <c:pt idx="24">
                  <c:v>2.0</c:v>
                </c:pt>
                <c:pt idx="25">
                  <c:v>2.0</c:v>
                </c:pt>
                <c:pt idx="26">
                  <c:v>2.0</c:v>
                </c:pt>
                <c:pt idx="27">
                  <c:v>2.0</c:v>
                </c:pt>
                <c:pt idx="28">
                  <c:v>1.0</c:v>
                </c:pt>
                <c:pt idx="29">
                  <c:v>2.0</c:v>
                </c:pt>
                <c:pt idx="30">
                  <c:v>2.0</c:v>
                </c:pt>
                <c:pt idx="31">
                  <c:v>2.0</c:v>
                </c:pt>
                <c:pt idx="32">
                  <c:v>1.0</c:v>
                </c:pt>
                <c:pt idx="33">
                  <c:v>2.0</c:v>
                </c:pt>
                <c:pt idx="34">
                  <c:v>2.0</c:v>
                </c:pt>
                <c:pt idx="35">
                  <c:v>2.0</c:v>
                </c:pt>
                <c:pt idx="36">
                  <c:v>1.0</c:v>
                </c:pt>
                <c:pt idx="37">
                  <c:v>2.0</c:v>
                </c:pt>
                <c:pt idx="38">
                  <c:v>2.0</c:v>
                </c:pt>
                <c:pt idx="39">
                  <c:v>2.0</c:v>
                </c:pt>
                <c:pt idx="40">
                  <c:v>1.0</c:v>
                </c:pt>
                <c:pt idx="41">
                  <c:v>0.0</c:v>
                </c:pt>
                <c:pt idx="42">
                  <c:v>1.0</c:v>
                </c:pt>
                <c:pt idx="43">
                  <c:v>1.0</c:v>
                </c:pt>
                <c:pt idx="44">
                  <c:v>4.0</c:v>
                </c:pt>
                <c:pt idx="45">
                  <c:v>1.0</c:v>
                </c:pt>
                <c:pt idx="46">
                  <c:v>2.0</c:v>
                </c:pt>
                <c:pt idx="47">
                  <c:v>2.0</c:v>
                </c:pt>
                <c:pt idx="48">
                  <c:v>2.0</c:v>
                </c:pt>
                <c:pt idx="49">
                  <c:v>2.0</c:v>
                </c:pt>
                <c:pt idx="50">
                  <c:v>2.0</c:v>
                </c:pt>
                <c:pt idx="51">
                  <c:v>2.0</c:v>
                </c:pt>
                <c:pt idx="52">
                  <c:v>2.0</c:v>
                </c:pt>
                <c:pt idx="53">
                  <c:v>2.0</c:v>
                </c:pt>
                <c:pt idx="54">
                  <c:v>2.0</c:v>
                </c:pt>
                <c:pt idx="55">
                  <c:v>2.0</c:v>
                </c:pt>
                <c:pt idx="56">
                  <c:v>2.0</c:v>
                </c:pt>
                <c:pt idx="57">
                  <c:v>2.0</c:v>
                </c:pt>
                <c:pt idx="58">
                  <c:v>2.0</c:v>
                </c:pt>
                <c:pt idx="59">
                  <c:v>1.0</c:v>
                </c:pt>
                <c:pt idx="60">
                  <c:v>3.0</c:v>
                </c:pt>
                <c:pt idx="61">
                  <c:v>2.0</c:v>
                </c:pt>
                <c:pt idx="62">
                  <c:v>2.0</c:v>
                </c:pt>
                <c:pt idx="63">
                  <c:v>3.0</c:v>
                </c:pt>
                <c:pt idx="64">
                  <c:v>2.0</c:v>
                </c:pt>
                <c:pt idx="65">
                  <c:v>2.0</c:v>
                </c:pt>
                <c:pt idx="66">
                  <c:v>3.0</c:v>
                </c:pt>
                <c:pt idx="67">
                  <c:v>2.0</c:v>
                </c:pt>
                <c:pt idx="68">
                  <c:v>2.0</c:v>
                </c:pt>
                <c:pt idx="69">
                  <c:v>3.0</c:v>
                </c:pt>
                <c:pt idx="70">
                  <c:v>2.0</c:v>
                </c:pt>
                <c:pt idx="71">
                  <c:v>2.0</c:v>
                </c:pt>
                <c:pt idx="72">
                  <c:v>2.0</c:v>
                </c:pt>
                <c:pt idx="73">
                  <c:v>2.0</c:v>
                </c:pt>
                <c:pt idx="74">
                  <c:v>2.0</c:v>
                </c:pt>
                <c:pt idx="75">
                  <c:v>3.0</c:v>
                </c:pt>
                <c:pt idx="76">
                  <c:v>2.0</c:v>
                </c:pt>
                <c:pt idx="77">
                  <c:v>2.0</c:v>
                </c:pt>
                <c:pt idx="78">
                  <c:v>2.0</c:v>
                </c:pt>
                <c:pt idx="79">
                  <c:v>2.0</c:v>
                </c:pt>
                <c:pt idx="80">
                  <c:v>3.0</c:v>
                </c:pt>
                <c:pt idx="81">
                  <c:v>2.0</c:v>
                </c:pt>
                <c:pt idx="82">
                  <c:v>3.0</c:v>
                </c:pt>
                <c:pt idx="83">
                  <c:v>3.0</c:v>
                </c:pt>
                <c:pt idx="84">
                  <c:v>3.0</c:v>
                </c:pt>
                <c:pt idx="85">
                  <c:v>3.0</c:v>
                </c:pt>
                <c:pt idx="86">
                  <c:v>3.0</c:v>
                </c:pt>
                <c:pt idx="87">
                  <c:v>2.0</c:v>
                </c:pt>
                <c:pt idx="88">
                  <c:v>4.0</c:v>
                </c:pt>
                <c:pt idx="89">
                  <c:v>3.0</c:v>
                </c:pt>
                <c:pt idx="90">
                  <c:v>3.0</c:v>
                </c:pt>
                <c:pt idx="91">
                  <c:v>3.0</c:v>
                </c:pt>
                <c:pt idx="92">
                  <c:v>4.0</c:v>
                </c:pt>
                <c:pt idx="93">
                  <c:v>4.0</c:v>
                </c:pt>
                <c:pt idx="94">
                  <c:v>3.0</c:v>
                </c:pt>
                <c:pt idx="95">
                  <c:v>4.0</c:v>
                </c:pt>
                <c:pt idx="96">
                  <c:v>4.0</c:v>
                </c:pt>
                <c:pt idx="97">
                  <c:v>4.0</c:v>
                </c:pt>
                <c:pt idx="98">
                  <c:v>4.0</c:v>
                </c:pt>
                <c:pt idx="99">
                  <c:v>4.0</c:v>
                </c:pt>
                <c:pt idx="100">
                  <c:v>4.0</c:v>
                </c:pt>
                <c:pt idx="101">
                  <c:v>4.0</c:v>
                </c:pt>
                <c:pt idx="102">
                  <c:v>4.0</c:v>
                </c:pt>
                <c:pt idx="103">
                  <c:v>4.0</c:v>
                </c:pt>
                <c:pt idx="104">
                  <c:v>3.0</c:v>
                </c:pt>
                <c:pt idx="105">
                  <c:v>3.0</c:v>
                </c:pt>
                <c:pt idx="106">
                  <c:v>2.0</c:v>
                </c:pt>
                <c:pt idx="107">
                  <c:v>3.0</c:v>
                </c:pt>
                <c:pt idx="108">
                  <c:v>3.0</c:v>
                </c:pt>
                <c:pt idx="109">
                  <c:v>2.0</c:v>
                </c:pt>
                <c:pt idx="110">
                  <c:v>3.0</c:v>
                </c:pt>
              </c:numCache>
            </c:numRef>
          </c:val>
        </c:ser>
        <c:ser>
          <c:idx val="6"/>
          <c:order val="6"/>
          <c:tx>
            <c:strRef>
              <c:f>'All modified'!$O$2</c:f>
              <c:strCache>
                <c:ptCount val="1"/>
                <c:pt idx="0">
                  <c:v>other Europe</c:v>
                </c:pt>
              </c:strCache>
            </c:strRef>
          </c:tx>
          <c:spPr>
            <a:solidFill>
              <a:schemeClr val="bg1">
                <a:lumMod val="50000"/>
              </a:schemeClr>
            </a:solidFill>
          </c:spPr>
          <c:invertIfNegative val="0"/>
          <c:val>
            <c:numRef>
              <c:f>'All modified'!$O$3:$O$113</c:f>
              <c:numCache>
                <c:formatCode>General</c:formatCode>
                <c:ptCount val="11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1.0</c:v>
                </c:pt>
                <c:pt idx="20">
                  <c:v>0.0</c:v>
                </c:pt>
                <c:pt idx="21">
                  <c:v>0.0</c:v>
                </c:pt>
                <c:pt idx="22">
                  <c:v>1.0</c:v>
                </c:pt>
                <c:pt idx="23">
                  <c:v>0.0</c:v>
                </c:pt>
                <c:pt idx="24">
                  <c:v>0.0</c:v>
                </c:pt>
                <c:pt idx="25">
                  <c:v>1.0</c:v>
                </c:pt>
                <c:pt idx="26">
                  <c:v>0.0</c:v>
                </c:pt>
                <c:pt idx="27">
                  <c:v>0.0</c:v>
                </c:pt>
                <c:pt idx="28">
                  <c:v>1.0</c:v>
                </c:pt>
                <c:pt idx="29">
                  <c:v>0.0</c:v>
                </c:pt>
                <c:pt idx="30">
                  <c:v>0.0</c:v>
                </c:pt>
                <c:pt idx="31">
                  <c:v>1.0</c:v>
                </c:pt>
                <c:pt idx="32">
                  <c:v>0.0</c:v>
                </c:pt>
                <c:pt idx="33">
                  <c:v>0.0</c:v>
                </c:pt>
                <c:pt idx="34">
                  <c:v>1.0</c:v>
                </c:pt>
                <c:pt idx="35">
                  <c:v>1.0</c:v>
                </c:pt>
                <c:pt idx="36">
                  <c:v>0.0</c:v>
                </c:pt>
                <c:pt idx="37">
                  <c:v>0.0</c:v>
                </c:pt>
                <c:pt idx="38">
                  <c:v>0.0</c:v>
                </c:pt>
                <c:pt idx="39">
                  <c:v>0.0</c:v>
                </c:pt>
                <c:pt idx="40">
                  <c:v>1.0</c:v>
                </c:pt>
                <c:pt idx="41">
                  <c:v>1.0</c:v>
                </c:pt>
                <c:pt idx="42">
                  <c:v>1.0</c:v>
                </c:pt>
                <c:pt idx="43">
                  <c:v>1.0</c:v>
                </c:pt>
                <c:pt idx="44">
                  <c:v>1.0</c:v>
                </c:pt>
                <c:pt idx="45">
                  <c:v>1.0</c:v>
                </c:pt>
                <c:pt idx="46">
                  <c:v>1.0</c:v>
                </c:pt>
                <c:pt idx="47">
                  <c:v>1.0</c:v>
                </c:pt>
                <c:pt idx="48">
                  <c:v>1.0</c:v>
                </c:pt>
                <c:pt idx="49">
                  <c:v>1.0</c:v>
                </c:pt>
                <c:pt idx="50">
                  <c:v>1.0</c:v>
                </c:pt>
                <c:pt idx="51">
                  <c:v>1.0</c:v>
                </c:pt>
                <c:pt idx="52">
                  <c:v>0.0</c:v>
                </c:pt>
                <c:pt idx="53">
                  <c:v>1.0</c:v>
                </c:pt>
                <c:pt idx="54">
                  <c:v>1.0</c:v>
                </c:pt>
                <c:pt idx="55">
                  <c:v>0.0</c:v>
                </c:pt>
                <c:pt idx="56">
                  <c:v>1.0</c:v>
                </c:pt>
                <c:pt idx="57">
                  <c:v>1.0</c:v>
                </c:pt>
                <c:pt idx="58">
                  <c:v>1.0</c:v>
                </c:pt>
                <c:pt idx="59">
                  <c:v>1.0</c:v>
                </c:pt>
                <c:pt idx="60">
                  <c:v>1.0</c:v>
                </c:pt>
                <c:pt idx="61">
                  <c:v>1.0</c:v>
                </c:pt>
                <c:pt idx="62">
                  <c:v>1.0</c:v>
                </c:pt>
                <c:pt idx="63">
                  <c:v>1.0</c:v>
                </c:pt>
                <c:pt idx="64">
                  <c:v>1.0</c:v>
                </c:pt>
                <c:pt idx="65">
                  <c:v>1.0</c:v>
                </c:pt>
                <c:pt idx="66">
                  <c:v>1.0</c:v>
                </c:pt>
                <c:pt idx="67">
                  <c:v>0.0</c:v>
                </c:pt>
                <c:pt idx="68">
                  <c:v>1.0</c:v>
                </c:pt>
                <c:pt idx="69">
                  <c:v>1.0</c:v>
                </c:pt>
                <c:pt idx="70">
                  <c:v>1.0</c:v>
                </c:pt>
                <c:pt idx="71">
                  <c:v>1.0</c:v>
                </c:pt>
                <c:pt idx="72">
                  <c:v>1.0</c:v>
                </c:pt>
                <c:pt idx="73">
                  <c:v>1.0</c:v>
                </c:pt>
                <c:pt idx="74">
                  <c:v>0.0</c:v>
                </c:pt>
                <c:pt idx="75">
                  <c:v>1.0</c:v>
                </c:pt>
                <c:pt idx="76">
                  <c:v>0.0</c:v>
                </c:pt>
                <c:pt idx="77">
                  <c:v>0.0</c:v>
                </c:pt>
                <c:pt idx="78">
                  <c:v>0.0</c:v>
                </c:pt>
                <c:pt idx="79">
                  <c:v>0.0</c:v>
                </c:pt>
                <c:pt idx="80">
                  <c:v>0.0</c:v>
                </c:pt>
                <c:pt idx="81">
                  <c:v>0.0</c:v>
                </c:pt>
                <c:pt idx="82">
                  <c:v>0.0</c:v>
                </c:pt>
                <c:pt idx="83">
                  <c:v>0.0</c:v>
                </c:pt>
                <c:pt idx="84">
                  <c:v>0.0</c:v>
                </c:pt>
                <c:pt idx="85">
                  <c:v>0.0</c:v>
                </c:pt>
                <c:pt idx="86">
                  <c:v>0.0</c:v>
                </c:pt>
                <c:pt idx="87">
                  <c:v>0.0</c:v>
                </c:pt>
                <c:pt idx="88">
                  <c:v>0.0</c:v>
                </c:pt>
                <c:pt idx="89">
                  <c:v>0.0</c:v>
                </c:pt>
                <c:pt idx="90">
                  <c:v>8.0</c:v>
                </c:pt>
                <c:pt idx="91">
                  <c:v>9.0</c:v>
                </c:pt>
                <c:pt idx="92">
                  <c:v>6.0</c:v>
                </c:pt>
                <c:pt idx="93">
                  <c:v>7.0</c:v>
                </c:pt>
                <c:pt idx="94">
                  <c:v>0.0</c:v>
                </c:pt>
                <c:pt idx="95">
                  <c:v>0.0</c:v>
                </c:pt>
                <c:pt idx="96">
                  <c:v>0.0</c:v>
                </c:pt>
                <c:pt idx="97">
                  <c:v>0.0</c:v>
                </c:pt>
                <c:pt idx="98">
                  <c:v>0.0</c:v>
                </c:pt>
                <c:pt idx="99">
                  <c:v>0.0</c:v>
                </c:pt>
                <c:pt idx="100">
                  <c:v>0.0</c:v>
                </c:pt>
                <c:pt idx="101">
                  <c:v>0.0</c:v>
                </c:pt>
                <c:pt idx="102">
                  <c:v>0.0</c:v>
                </c:pt>
                <c:pt idx="103">
                  <c:v>0.0</c:v>
                </c:pt>
                <c:pt idx="104">
                  <c:v>0.0</c:v>
                </c:pt>
                <c:pt idx="105">
                  <c:v>0.0</c:v>
                </c:pt>
                <c:pt idx="106">
                  <c:v>0.0</c:v>
                </c:pt>
                <c:pt idx="107">
                  <c:v>0.0</c:v>
                </c:pt>
                <c:pt idx="108">
                  <c:v>0.0</c:v>
                </c:pt>
                <c:pt idx="109">
                  <c:v>0.0</c:v>
                </c:pt>
                <c:pt idx="110">
                  <c:v>0.0</c:v>
                </c:pt>
              </c:numCache>
            </c:numRef>
          </c:val>
        </c:ser>
        <c:ser>
          <c:idx val="7"/>
          <c:order val="7"/>
          <c:tx>
            <c:strRef>
              <c:f>'All modified'!$Q$2</c:f>
              <c:strCache>
                <c:ptCount val="1"/>
                <c:pt idx="0">
                  <c:v>other Africa</c:v>
                </c:pt>
              </c:strCache>
            </c:strRef>
          </c:tx>
          <c:spPr>
            <a:solidFill>
              <a:srgbClr val="00FFFF"/>
            </a:solidFill>
          </c:spPr>
          <c:invertIfNegative val="0"/>
          <c:val>
            <c:numRef>
              <c:f>'All modified'!$Q$3:$Q$113</c:f>
              <c:numCache>
                <c:formatCode>General</c:formatCode>
                <c:ptCount val="11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1.0</c:v>
                </c:pt>
                <c:pt idx="32">
                  <c:v>0.0</c:v>
                </c:pt>
                <c:pt idx="33">
                  <c:v>0.0</c:v>
                </c:pt>
                <c:pt idx="34">
                  <c:v>1.0</c:v>
                </c:pt>
                <c:pt idx="35">
                  <c:v>1.0</c:v>
                </c:pt>
                <c:pt idx="36">
                  <c:v>0.0</c:v>
                </c:pt>
                <c:pt idx="37">
                  <c:v>0.0</c:v>
                </c:pt>
                <c:pt idx="38">
                  <c:v>0.0</c:v>
                </c:pt>
                <c:pt idx="39">
                  <c:v>0.0</c:v>
                </c:pt>
                <c:pt idx="40">
                  <c:v>1.0</c:v>
                </c:pt>
                <c:pt idx="41">
                  <c:v>0.0</c:v>
                </c:pt>
                <c:pt idx="42">
                  <c:v>0.0</c:v>
                </c:pt>
                <c:pt idx="43">
                  <c:v>0.0</c:v>
                </c:pt>
                <c:pt idx="44">
                  <c:v>0.0</c:v>
                </c:pt>
                <c:pt idx="45">
                  <c:v>2.0</c:v>
                </c:pt>
                <c:pt idx="46">
                  <c:v>0.0</c:v>
                </c:pt>
                <c:pt idx="47">
                  <c:v>0.0</c:v>
                </c:pt>
                <c:pt idx="48">
                  <c:v>1.0</c:v>
                </c:pt>
                <c:pt idx="49">
                  <c:v>0.0</c:v>
                </c:pt>
                <c:pt idx="50">
                  <c:v>0.0</c:v>
                </c:pt>
                <c:pt idx="51">
                  <c:v>1.0</c:v>
                </c:pt>
                <c:pt idx="52">
                  <c:v>0.0</c:v>
                </c:pt>
                <c:pt idx="53">
                  <c:v>0.0</c:v>
                </c:pt>
                <c:pt idx="54">
                  <c:v>0.0</c:v>
                </c:pt>
                <c:pt idx="55">
                  <c:v>0.0</c:v>
                </c:pt>
                <c:pt idx="56">
                  <c:v>0.0</c:v>
                </c:pt>
                <c:pt idx="57">
                  <c:v>0.0</c:v>
                </c:pt>
                <c:pt idx="58">
                  <c:v>1.0</c:v>
                </c:pt>
                <c:pt idx="59">
                  <c:v>0.0</c:v>
                </c:pt>
                <c:pt idx="60">
                  <c:v>1.0</c:v>
                </c:pt>
                <c:pt idx="61">
                  <c:v>0.0</c:v>
                </c:pt>
                <c:pt idx="62">
                  <c:v>1.0</c:v>
                </c:pt>
                <c:pt idx="63">
                  <c:v>0.0</c:v>
                </c:pt>
                <c:pt idx="64">
                  <c:v>1.0</c:v>
                </c:pt>
                <c:pt idx="65">
                  <c:v>0.0</c:v>
                </c:pt>
                <c:pt idx="66">
                  <c:v>0.0</c:v>
                </c:pt>
                <c:pt idx="67">
                  <c:v>0.0</c:v>
                </c:pt>
                <c:pt idx="68">
                  <c:v>0.0</c:v>
                </c:pt>
                <c:pt idx="69">
                  <c:v>0.0</c:v>
                </c:pt>
                <c:pt idx="70">
                  <c:v>2.0</c:v>
                </c:pt>
                <c:pt idx="71">
                  <c:v>0.0</c:v>
                </c:pt>
                <c:pt idx="72">
                  <c:v>0.0</c:v>
                </c:pt>
                <c:pt idx="73">
                  <c:v>2.0</c:v>
                </c:pt>
                <c:pt idx="74">
                  <c:v>0.0</c:v>
                </c:pt>
                <c:pt idx="75">
                  <c:v>0.0</c:v>
                </c:pt>
                <c:pt idx="76">
                  <c:v>0.0</c:v>
                </c:pt>
                <c:pt idx="77">
                  <c:v>0.0</c:v>
                </c:pt>
                <c:pt idx="78">
                  <c:v>1.0</c:v>
                </c:pt>
                <c:pt idx="79">
                  <c:v>0.0</c:v>
                </c:pt>
                <c:pt idx="80">
                  <c:v>0.0</c:v>
                </c:pt>
                <c:pt idx="81">
                  <c:v>1.0</c:v>
                </c:pt>
                <c:pt idx="82">
                  <c:v>0.0</c:v>
                </c:pt>
                <c:pt idx="83">
                  <c:v>1.0</c:v>
                </c:pt>
                <c:pt idx="84">
                  <c:v>2.0</c:v>
                </c:pt>
                <c:pt idx="85">
                  <c:v>2.0</c:v>
                </c:pt>
                <c:pt idx="86">
                  <c:v>2.0</c:v>
                </c:pt>
                <c:pt idx="87">
                  <c:v>2.0</c:v>
                </c:pt>
                <c:pt idx="88">
                  <c:v>2.0</c:v>
                </c:pt>
                <c:pt idx="89">
                  <c:v>2.0</c:v>
                </c:pt>
                <c:pt idx="90">
                  <c:v>3.0</c:v>
                </c:pt>
                <c:pt idx="91">
                  <c:v>2.0</c:v>
                </c:pt>
                <c:pt idx="92">
                  <c:v>2.0</c:v>
                </c:pt>
                <c:pt idx="93">
                  <c:v>3.0</c:v>
                </c:pt>
                <c:pt idx="94">
                  <c:v>4.0</c:v>
                </c:pt>
                <c:pt idx="95">
                  <c:v>3.0</c:v>
                </c:pt>
                <c:pt idx="96">
                  <c:v>4.0</c:v>
                </c:pt>
                <c:pt idx="97">
                  <c:v>4.0</c:v>
                </c:pt>
                <c:pt idx="98">
                  <c:v>4.0</c:v>
                </c:pt>
                <c:pt idx="99">
                  <c:v>4.0</c:v>
                </c:pt>
                <c:pt idx="100">
                  <c:v>4.0</c:v>
                </c:pt>
                <c:pt idx="101">
                  <c:v>4.0</c:v>
                </c:pt>
                <c:pt idx="102">
                  <c:v>4.0</c:v>
                </c:pt>
                <c:pt idx="103">
                  <c:v>2.0</c:v>
                </c:pt>
                <c:pt idx="104">
                  <c:v>3.0</c:v>
                </c:pt>
                <c:pt idx="105">
                  <c:v>2.0</c:v>
                </c:pt>
                <c:pt idx="106">
                  <c:v>2.0</c:v>
                </c:pt>
                <c:pt idx="107">
                  <c:v>4.0</c:v>
                </c:pt>
                <c:pt idx="108">
                  <c:v>3.0</c:v>
                </c:pt>
                <c:pt idx="109">
                  <c:v>3.0</c:v>
                </c:pt>
                <c:pt idx="110">
                  <c:v>3.0</c:v>
                </c:pt>
              </c:numCache>
            </c:numRef>
          </c:val>
        </c:ser>
        <c:ser>
          <c:idx val="8"/>
          <c:order val="8"/>
          <c:tx>
            <c:strRef>
              <c:f>'All modified'!$S$2</c:f>
              <c:strCache>
                <c:ptCount val="1"/>
                <c:pt idx="0">
                  <c:v>South Asia</c:v>
                </c:pt>
              </c:strCache>
            </c:strRef>
          </c:tx>
          <c:spPr>
            <a:solidFill>
              <a:srgbClr val="008000"/>
            </a:solidFill>
          </c:spPr>
          <c:invertIfNegative val="0"/>
          <c:val>
            <c:numRef>
              <c:f>'All modified'!$S$3:$S$113</c:f>
              <c:numCache>
                <c:formatCode>General</c:formatCode>
                <c:ptCount val="11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2.0</c:v>
                </c:pt>
                <c:pt idx="46">
                  <c:v>2.0</c:v>
                </c:pt>
                <c:pt idx="47">
                  <c:v>2.0</c:v>
                </c:pt>
                <c:pt idx="48">
                  <c:v>2.0</c:v>
                </c:pt>
                <c:pt idx="49">
                  <c:v>2.0</c:v>
                </c:pt>
                <c:pt idx="50">
                  <c:v>2.0</c:v>
                </c:pt>
                <c:pt idx="51">
                  <c:v>2.0</c:v>
                </c:pt>
                <c:pt idx="52">
                  <c:v>2.0</c:v>
                </c:pt>
                <c:pt idx="53">
                  <c:v>2.0</c:v>
                </c:pt>
                <c:pt idx="54">
                  <c:v>2.0</c:v>
                </c:pt>
                <c:pt idx="55">
                  <c:v>2.0</c:v>
                </c:pt>
                <c:pt idx="56">
                  <c:v>2.0</c:v>
                </c:pt>
                <c:pt idx="57">
                  <c:v>2.0</c:v>
                </c:pt>
                <c:pt idx="58">
                  <c:v>2.0</c:v>
                </c:pt>
                <c:pt idx="59">
                  <c:v>2.0</c:v>
                </c:pt>
                <c:pt idx="60">
                  <c:v>2.0</c:v>
                </c:pt>
                <c:pt idx="61">
                  <c:v>3.0</c:v>
                </c:pt>
                <c:pt idx="62">
                  <c:v>3.0</c:v>
                </c:pt>
                <c:pt idx="63">
                  <c:v>3.0</c:v>
                </c:pt>
                <c:pt idx="64">
                  <c:v>3.0</c:v>
                </c:pt>
                <c:pt idx="65">
                  <c:v>3.0</c:v>
                </c:pt>
                <c:pt idx="66">
                  <c:v>3.0</c:v>
                </c:pt>
                <c:pt idx="67">
                  <c:v>3.0</c:v>
                </c:pt>
                <c:pt idx="68">
                  <c:v>3.0</c:v>
                </c:pt>
                <c:pt idx="69">
                  <c:v>3.0</c:v>
                </c:pt>
                <c:pt idx="70">
                  <c:v>3.0</c:v>
                </c:pt>
                <c:pt idx="71">
                  <c:v>3.0</c:v>
                </c:pt>
                <c:pt idx="72">
                  <c:v>3.0</c:v>
                </c:pt>
                <c:pt idx="73">
                  <c:v>2.0</c:v>
                </c:pt>
                <c:pt idx="74">
                  <c:v>3.0</c:v>
                </c:pt>
                <c:pt idx="75">
                  <c:v>3.0</c:v>
                </c:pt>
                <c:pt idx="76">
                  <c:v>2.0</c:v>
                </c:pt>
                <c:pt idx="77">
                  <c:v>3.0</c:v>
                </c:pt>
                <c:pt idx="78">
                  <c:v>2.0</c:v>
                </c:pt>
                <c:pt idx="79">
                  <c:v>2.0</c:v>
                </c:pt>
                <c:pt idx="80">
                  <c:v>3.0</c:v>
                </c:pt>
                <c:pt idx="81">
                  <c:v>2.0</c:v>
                </c:pt>
                <c:pt idx="82">
                  <c:v>2.0</c:v>
                </c:pt>
                <c:pt idx="83">
                  <c:v>4.0</c:v>
                </c:pt>
                <c:pt idx="84">
                  <c:v>4.0</c:v>
                </c:pt>
                <c:pt idx="85">
                  <c:v>3.0</c:v>
                </c:pt>
                <c:pt idx="86">
                  <c:v>4.0</c:v>
                </c:pt>
                <c:pt idx="87">
                  <c:v>4.0</c:v>
                </c:pt>
                <c:pt idx="88">
                  <c:v>4.0</c:v>
                </c:pt>
                <c:pt idx="89">
                  <c:v>5.0</c:v>
                </c:pt>
                <c:pt idx="90">
                  <c:v>5.0</c:v>
                </c:pt>
                <c:pt idx="91">
                  <c:v>5.0</c:v>
                </c:pt>
                <c:pt idx="92">
                  <c:v>4.0</c:v>
                </c:pt>
                <c:pt idx="93">
                  <c:v>5.0</c:v>
                </c:pt>
                <c:pt idx="94">
                  <c:v>5.0</c:v>
                </c:pt>
                <c:pt idx="95">
                  <c:v>5.0</c:v>
                </c:pt>
                <c:pt idx="96">
                  <c:v>9.0</c:v>
                </c:pt>
                <c:pt idx="97">
                  <c:v>8.0</c:v>
                </c:pt>
                <c:pt idx="98">
                  <c:v>8.0</c:v>
                </c:pt>
                <c:pt idx="99">
                  <c:v>8.0</c:v>
                </c:pt>
                <c:pt idx="100">
                  <c:v>8.0</c:v>
                </c:pt>
                <c:pt idx="101">
                  <c:v>8.0</c:v>
                </c:pt>
                <c:pt idx="102">
                  <c:v>8.0</c:v>
                </c:pt>
                <c:pt idx="103">
                  <c:v>8.0</c:v>
                </c:pt>
                <c:pt idx="104">
                  <c:v>6.0</c:v>
                </c:pt>
                <c:pt idx="105">
                  <c:v>7.0</c:v>
                </c:pt>
                <c:pt idx="106">
                  <c:v>6.0</c:v>
                </c:pt>
                <c:pt idx="107">
                  <c:v>6.0</c:v>
                </c:pt>
                <c:pt idx="108">
                  <c:v>6.0</c:v>
                </c:pt>
                <c:pt idx="109">
                  <c:v>6.0</c:v>
                </c:pt>
                <c:pt idx="110">
                  <c:v>6.0</c:v>
                </c:pt>
              </c:numCache>
            </c:numRef>
          </c:val>
        </c:ser>
        <c:ser>
          <c:idx val="9"/>
          <c:order val="9"/>
          <c:tx>
            <c:strRef>
              <c:f>'All modified'!$X$2</c:f>
              <c:strCache>
                <c:ptCount val="1"/>
                <c:pt idx="0">
                  <c:v>SE Asia</c:v>
                </c:pt>
              </c:strCache>
            </c:strRef>
          </c:tx>
          <c:spPr>
            <a:solidFill>
              <a:srgbClr val="800080"/>
            </a:solidFill>
          </c:spPr>
          <c:invertIfNegative val="0"/>
          <c:val>
            <c:numRef>
              <c:f>'All modified'!$X$3:$X$113</c:f>
              <c:numCache>
                <c:formatCode>General</c:formatCode>
                <c:ptCount val="11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1.0</c:v>
                </c:pt>
                <c:pt idx="60">
                  <c:v>0.0</c:v>
                </c:pt>
                <c:pt idx="61">
                  <c:v>0.0</c:v>
                </c:pt>
                <c:pt idx="62">
                  <c:v>0.0</c:v>
                </c:pt>
                <c:pt idx="63">
                  <c:v>0.0</c:v>
                </c:pt>
                <c:pt idx="64">
                  <c:v>1.0</c:v>
                </c:pt>
                <c:pt idx="65">
                  <c:v>0.0</c:v>
                </c:pt>
                <c:pt idx="66">
                  <c:v>0.0</c:v>
                </c:pt>
                <c:pt idx="67">
                  <c:v>1.0</c:v>
                </c:pt>
                <c:pt idx="68">
                  <c:v>0.0</c:v>
                </c:pt>
                <c:pt idx="69">
                  <c:v>0.0</c:v>
                </c:pt>
                <c:pt idx="70">
                  <c:v>0.0</c:v>
                </c:pt>
                <c:pt idx="71">
                  <c:v>1.0</c:v>
                </c:pt>
                <c:pt idx="72">
                  <c:v>0.0</c:v>
                </c:pt>
                <c:pt idx="73">
                  <c:v>0.0</c:v>
                </c:pt>
                <c:pt idx="74">
                  <c:v>1.0</c:v>
                </c:pt>
                <c:pt idx="75">
                  <c:v>0.0</c:v>
                </c:pt>
                <c:pt idx="76">
                  <c:v>0.0</c:v>
                </c:pt>
                <c:pt idx="77">
                  <c:v>0.0</c:v>
                </c:pt>
                <c:pt idx="78">
                  <c:v>1.0</c:v>
                </c:pt>
                <c:pt idx="79">
                  <c:v>0.0</c:v>
                </c:pt>
                <c:pt idx="80">
                  <c:v>0.0</c:v>
                </c:pt>
                <c:pt idx="81">
                  <c:v>0.0</c:v>
                </c:pt>
                <c:pt idx="82">
                  <c:v>2.0</c:v>
                </c:pt>
                <c:pt idx="83">
                  <c:v>1.0</c:v>
                </c:pt>
                <c:pt idx="84">
                  <c:v>2.0</c:v>
                </c:pt>
                <c:pt idx="85">
                  <c:v>3.0</c:v>
                </c:pt>
                <c:pt idx="86">
                  <c:v>3.0</c:v>
                </c:pt>
                <c:pt idx="87">
                  <c:v>2.0</c:v>
                </c:pt>
                <c:pt idx="88">
                  <c:v>3.0</c:v>
                </c:pt>
                <c:pt idx="89">
                  <c:v>3.0</c:v>
                </c:pt>
                <c:pt idx="90">
                  <c:v>4.0</c:v>
                </c:pt>
                <c:pt idx="91">
                  <c:v>2.0</c:v>
                </c:pt>
                <c:pt idx="92">
                  <c:v>3.0</c:v>
                </c:pt>
                <c:pt idx="93">
                  <c:v>3.0</c:v>
                </c:pt>
                <c:pt idx="94">
                  <c:v>3.0</c:v>
                </c:pt>
                <c:pt idx="95">
                  <c:v>3.0</c:v>
                </c:pt>
                <c:pt idx="96">
                  <c:v>3.0</c:v>
                </c:pt>
                <c:pt idx="97">
                  <c:v>3.0</c:v>
                </c:pt>
                <c:pt idx="98">
                  <c:v>3.0</c:v>
                </c:pt>
                <c:pt idx="99">
                  <c:v>3.0</c:v>
                </c:pt>
                <c:pt idx="100">
                  <c:v>3.0</c:v>
                </c:pt>
                <c:pt idx="101">
                  <c:v>3.0</c:v>
                </c:pt>
                <c:pt idx="102">
                  <c:v>3.0</c:v>
                </c:pt>
                <c:pt idx="103">
                  <c:v>3.0</c:v>
                </c:pt>
                <c:pt idx="104">
                  <c:v>0.0</c:v>
                </c:pt>
                <c:pt idx="105">
                  <c:v>1.0</c:v>
                </c:pt>
                <c:pt idx="106">
                  <c:v>1.0</c:v>
                </c:pt>
                <c:pt idx="107">
                  <c:v>1.0</c:v>
                </c:pt>
                <c:pt idx="108">
                  <c:v>1.0</c:v>
                </c:pt>
                <c:pt idx="109">
                  <c:v>1.0</c:v>
                </c:pt>
                <c:pt idx="110">
                  <c:v>1.0</c:v>
                </c:pt>
              </c:numCache>
            </c:numRef>
          </c:val>
        </c:ser>
        <c:ser>
          <c:idx val="10"/>
          <c:order val="10"/>
          <c:tx>
            <c:strRef>
              <c:f>'All modified'!$AB$2</c:f>
              <c:strCache>
                <c:ptCount val="1"/>
                <c:pt idx="0">
                  <c:v>Rhodes Visiting Fellow</c:v>
                </c:pt>
              </c:strCache>
            </c:strRef>
          </c:tx>
          <c:spPr>
            <a:solidFill>
              <a:srgbClr val="FF00FF"/>
            </a:solidFill>
          </c:spPr>
          <c:invertIfNegative val="0"/>
          <c:val>
            <c:numRef>
              <c:f>'All modified'!$AB$3:$AB$113</c:f>
              <c:numCache>
                <c:formatCode>General</c:formatCode>
                <c:ptCount val="111"/>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pt idx="66">
                  <c:v>0.0</c:v>
                </c:pt>
                <c:pt idx="67">
                  <c:v>0.0</c:v>
                </c:pt>
                <c:pt idx="68">
                  <c:v>3.0</c:v>
                </c:pt>
                <c:pt idx="69">
                  <c:v>1.0</c:v>
                </c:pt>
                <c:pt idx="70">
                  <c:v>1.0</c:v>
                </c:pt>
                <c:pt idx="71">
                  <c:v>3.0</c:v>
                </c:pt>
                <c:pt idx="72">
                  <c:v>3.0</c:v>
                </c:pt>
                <c:pt idx="73">
                  <c:v>3.0</c:v>
                </c:pt>
                <c:pt idx="74">
                  <c:v>4.0</c:v>
                </c:pt>
                <c:pt idx="75">
                  <c:v>1.0</c:v>
                </c:pt>
                <c:pt idx="76">
                  <c:v>3.0</c:v>
                </c:pt>
                <c:pt idx="77">
                  <c:v>1.0</c:v>
                </c:pt>
                <c:pt idx="78">
                  <c:v>2.0</c:v>
                </c:pt>
                <c:pt idx="79">
                  <c:v>0.0</c:v>
                </c:pt>
                <c:pt idx="80">
                  <c:v>2.0</c:v>
                </c:pt>
                <c:pt idx="81">
                  <c:v>0.0</c:v>
                </c:pt>
                <c:pt idx="82">
                  <c:v>0.0</c:v>
                </c:pt>
                <c:pt idx="83">
                  <c:v>2.0</c:v>
                </c:pt>
                <c:pt idx="84">
                  <c:v>0.0</c:v>
                </c:pt>
                <c:pt idx="85">
                  <c:v>0.0</c:v>
                </c:pt>
                <c:pt idx="86">
                  <c:v>1.0</c:v>
                </c:pt>
                <c:pt idx="87">
                  <c:v>0.0</c:v>
                </c:pt>
                <c:pt idx="88">
                  <c:v>0.0</c:v>
                </c:pt>
                <c:pt idx="89">
                  <c:v>0.0</c:v>
                </c:pt>
                <c:pt idx="90">
                  <c:v>0.0</c:v>
                </c:pt>
                <c:pt idx="91">
                  <c:v>0.0</c:v>
                </c:pt>
                <c:pt idx="92">
                  <c:v>0.0</c:v>
                </c:pt>
                <c:pt idx="93">
                  <c:v>0.0</c:v>
                </c:pt>
                <c:pt idx="94">
                  <c:v>0.0</c:v>
                </c:pt>
                <c:pt idx="95">
                  <c:v>0.0</c:v>
                </c:pt>
                <c:pt idx="96">
                  <c:v>0.0</c:v>
                </c:pt>
                <c:pt idx="97">
                  <c:v>0.0</c:v>
                </c:pt>
                <c:pt idx="98">
                  <c:v>1.0</c:v>
                </c:pt>
                <c:pt idx="99">
                  <c:v>0.0</c:v>
                </c:pt>
                <c:pt idx="100">
                  <c:v>0.0</c:v>
                </c:pt>
                <c:pt idx="101">
                  <c:v>0.0</c:v>
                </c:pt>
                <c:pt idx="102">
                  <c:v>0.0</c:v>
                </c:pt>
                <c:pt idx="103">
                  <c:v>0.0</c:v>
                </c:pt>
                <c:pt idx="104">
                  <c:v>0.0</c:v>
                </c:pt>
                <c:pt idx="105">
                  <c:v>0.0</c:v>
                </c:pt>
                <c:pt idx="106">
                  <c:v>0.0</c:v>
                </c:pt>
                <c:pt idx="107">
                  <c:v>0.0</c:v>
                </c:pt>
                <c:pt idx="108">
                  <c:v>0.0</c:v>
                </c:pt>
                <c:pt idx="109">
                  <c:v>0.0</c:v>
                </c:pt>
                <c:pt idx="110">
                  <c:v>0.0</c:v>
                </c:pt>
              </c:numCache>
            </c:numRef>
          </c:val>
        </c:ser>
        <c:dLbls>
          <c:showLegendKey val="0"/>
          <c:showVal val="0"/>
          <c:showCatName val="0"/>
          <c:showSerName val="0"/>
          <c:showPercent val="0"/>
          <c:showBubbleSize val="0"/>
        </c:dLbls>
        <c:gapWidth val="0"/>
        <c:overlap val="98"/>
        <c:axId val="-2118574728"/>
        <c:axId val="2093640328"/>
      </c:barChart>
      <c:catAx>
        <c:axId val="-2118574728"/>
        <c:scaling>
          <c:orientation val="minMax"/>
        </c:scaling>
        <c:delete val="0"/>
        <c:axPos val="b"/>
        <c:numFmt formatCode="General" sourceLinked="1"/>
        <c:majorTickMark val="out"/>
        <c:minorTickMark val="none"/>
        <c:tickLblPos val="nextTo"/>
        <c:crossAx val="2093640328"/>
        <c:crosses val="autoZero"/>
        <c:auto val="1"/>
        <c:lblAlgn val="ctr"/>
        <c:lblOffset val="100"/>
        <c:noMultiLvlLbl val="0"/>
      </c:catAx>
      <c:valAx>
        <c:axId val="2093640328"/>
        <c:scaling>
          <c:orientation val="minMax"/>
          <c:max val="100.0"/>
        </c:scaling>
        <c:delete val="0"/>
        <c:axPos val="l"/>
        <c:majorGridlines/>
        <c:numFmt formatCode="General" sourceLinked="1"/>
        <c:majorTickMark val="out"/>
        <c:minorTickMark val="none"/>
        <c:tickLblPos val="nextTo"/>
        <c:crossAx val="-2118574728"/>
        <c:crosses val="autoZero"/>
        <c:crossBetween val="between"/>
      </c:valAx>
    </c:plotArea>
    <c:legend>
      <c:legendPos val="r"/>
      <c:legendEntry>
        <c:idx val="0"/>
        <c:txPr>
          <a:bodyPr/>
          <a:lstStyle/>
          <a:p>
            <a:pPr>
              <a:defRPr>
                <a:solidFill>
                  <a:schemeClr val="tx1"/>
                </a:solidFill>
              </a:defRPr>
            </a:pPr>
            <a:endParaRPr lang="en-US"/>
          </a:p>
        </c:txPr>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areaChart>
        <c:grouping val="percentStacked"/>
        <c:varyColors val="0"/>
        <c:ser>
          <c:idx val="0"/>
          <c:order val="0"/>
          <c:tx>
            <c:strRef>
              <c:f>Sheet1!$B$13</c:f>
              <c:strCache>
                <c:ptCount val="1"/>
                <c:pt idx="0">
                  <c:v>women</c:v>
                </c:pt>
              </c:strCache>
            </c:strRef>
          </c:tx>
          <c:cat>
            <c:numRef>
              <c:f>Sheet1!$A$14:$A$50</c:f>
              <c:numCache>
                <c:formatCode>General</c:formatCode>
                <c:ptCount val="37"/>
                <c:pt idx="0">
                  <c:v>1976.0</c:v>
                </c:pt>
                <c:pt idx="1">
                  <c:v>1977.0</c:v>
                </c:pt>
                <c:pt idx="2">
                  <c:v>1978.0</c:v>
                </c:pt>
                <c:pt idx="3">
                  <c:v>1979.0</c:v>
                </c:pt>
                <c:pt idx="4">
                  <c:v>1980.0</c:v>
                </c:pt>
                <c:pt idx="5">
                  <c:v>1981.0</c:v>
                </c:pt>
                <c:pt idx="6">
                  <c:v>1982.0</c:v>
                </c:pt>
                <c:pt idx="7">
                  <c:v>1983.0</c:v>
                </c:pt>
                <c:pt idx="8">
                  <c:v>1984.0</c:v>
                </c:pt>
                <c:pt idx="9">
                  <c:v>1985.0</c:v>
                </c:pt>
                <c:pt idx="10">
                  <c:v>1986.0</c:v>
                </c:pt>
                <c:pt idx="11">
                  <c:v>1987.0</c:v>
                </c:pt>
                <c:pt idx="12">
                  <c:v>1988.0</c:v>
                </c:pt>
                <c:pt idx="13">
                  <c:v>1989.0</c:v>
                </c:pt>
                <c:pt idx="14">
                  <c:v>1990.0</c:v>
                </c:pt>
                <c:pt idx="15">
                  <c:v>1991.0</c:v>
                </c:pt>
                <c:pt idx="16">
                  <c:v>1992.0</c:v>
                </c:pt>
                <c:pt idx="17">
                  <c:v>1993.0</c:v>
                </c:pt>
                <c:pt idx="18">
                  <c:v>1994.0</c:v>
                </c:pt>
                <c:pt idx="19">
                  <c:v>1995.0</c:v>
                </c:pt>
                <c:pt idx="20">
                  <c:v>1996.0</c:v>
                </c:pt>
                <c:pt idx="21">
                  <c:v>1997.0</c:v>
                </c:pt>
                <c:pt idx="22">
                  <c:v>1998.0</c:v>
                </c:pt>
                <c:pt idx="23">
                  <c:v>1999.0</c:v>
                </c:pt>
                <c:pt idx="24">
                  <c:v>2000.0</c:v>
                </c:pt>
                <c:pt idx="25">
                  <c:v>2001.0</c:v>
                </c:pt>
                <c:pt idx="26">
                  <c:v>2002.0</c:v>
                </c:pt>
                <c:pt idx="27">
                  <c:v>2003.0</c:v>
                </c:pt>
                <c:pt idx="28">
                  <c:v>2004.0</c:v>
                </c:pt>
                <c:pt idx="29">
                  <c:v>2005.0</c:v>
                </c:pt>
                <c:pt idx="30">
                  <c:v>2006.0</c:v>
                </c:pt>
                <c:pt idx="31">
                  <c:v>2007.0</c:v>
                </c:pt>
                <c:pt idx="32">
                  <c:v>2008.0</c:v>
                </c:pt>
                <c:pt idx="33">
                  <c:v>2009.0</c:v>
                </c:pt>
                <c:pt idx="34">
                  <c:v>2010.0</c:v>
                </c:pt>
                <c:pt idx="35">
                  <c:v>2011.0</c:v>
                </c:pt>
                <c:pt idx="36">
                  <c:v>2012.0</c:v>
                </c:pt>
              </c:numCache>
            </c:numRef>
          </c:cat>
          <c:val>
            <c:numRef>
              <c:f>Sheet1!$B$14:$B$50</c:f>
              <c:numCache>
                <c:formatCode>General</c:formatCode>
                <c:ptCount val="37"/>
                <c:pt idx="0">
                  <c:v>0.0</c:v>
                </c:pt>
                <c:pt idx="1">
                  <c:v>25.0</c:v>
                </c:pt>
                <c:pt idx="2">
                  <c:v>23.0</c:v>
                </c:pt>
                <c:pt idx="3">
                  <c:v>20.0</c:v>
                </c:pt>
                <c:pt idx="4">
                  <c:v>15.0</c:v>
                </c:pt>
                <c:pt idx="5">
                  <c:v>24.0</c:v>
                </c:pt>
                <c:pt idx="6">
                  <c:v>23.0</c:v>
                </c:pt>
                <c:pt idx="7">
                  <c:v>14.0</c:v>
                </c:pt>
                <c:pt idx="8">
                  <c:v>17.0</c:v>
                </c:pt>
                <c:pt idx="9">
                  <c:v>16.0</c:v>
                </c:pt>
                <c:pt idx="10">
                  <c:v>19.0</c:v>
                </c:pt>
                <c:pt idx="11">
                  <c:v>26.0</c:v>
                </c:pt>
                <c:pt idx="12">
                  <c:v>21.0</c:v>
                </c:pt>
                <c:pt idx="13">
                  <c:v>24.0</c:v>
                </c:pt>
                <c:pt idx="14">
                  <c:v>28.0</c:v>
                </c:pt>
                <c:pt idx="15">
                  <c:v>22.0</c:v>
                </c:pt>
                <c:pt idx="16">
                  <c:v>34.0</c:v>
                </c:pt>
                <c:pt idx="17">
                  <c:v>37.0</c:v>
                </c:pt>
                <c:pt idx="18">
                  <c:v>41.0</c:v>
                </c:pt>
                <c:pt idx="19">
                  <c:v>41.0</c:v>
                </c:pt>
                <c:pt idx="20">
                  <c:v>31.0</c:v>
                </c:pt>
                <c:pt idx="21">
                  <c:v>39.0</c:v>
                </c:pt>
                <c:pt idx="22">
                  <c:v>38.0</c:v>
                </c:pt>
                <c:pt idx="23">
                  <c:v>47.0</c:v>
                </c:pt>
                <c:pt idx="24">
                  <c:v>40.0</c:v>
                </c:pt>
                <c:pt idx="25">
                  <c:v>30.0</c:v>
                </c:pt>
                <c:pt idx="26">
                  <c:v>36.0</c:v>
                </c:pt>
                <c:pt idx="27">
                  <c:v>39.0</c:v>
                </c:pt>
                <c:pt idx="28">
                  <c:v>42.0</c:v>
                </c:pt>
                <c:pt idx="29">
                  <c:v>42.0</c:v>
                </c:pt>
                <c:pt idx="30">
                  <c:v>35.0</c:v>
                </c:pt>
                <c:pt idx="31">
                  <c:v>34.0</c:v>
                </c:pt>
                <c:pt idx="32">
                  <c:v>28.0</c:v>
                </c:pt>
                <c:pt idx="33">
                  <c:v>35.0</c:v>
                </c:pt>
                <c:pt idx="34">
                  <c:v>37.0</c:v>
                </c:pt>
                <c:pt idx="35">
                  <c:v>40.0</c:v>
                </c:pt>
                <c:pt idx="36">
                  <c:v>44.0</c:v>
                </c:pt>
              </c:numCache>
            </c:numRef>
          </c:val>
        </c:ser>
        <c:ser>
          <c:idx val="1"/>
          <c:order val="1"/>
          <c:tx>
            <c:strRef>
              <c:f>Sheet1!$C$13</c:f>
              <c:strCache>
                <c:ptCount val="1"/>
                <c:pt idx="0">
                  <c:v>men</c:v>
                </c:pt>
              </c:strCache>
            </c:strRef>
          </c:tx>
          <c:spPr>
            <a:solidFill>
              <a:schemeClr val="dk1">
                <a:tint val="55000"/>
                <a:alpha val="50000"/>
              </a:schemeClr>
            </a:solidFill>
          </c:spPr>
          <c:cat>
            <c:numRef>
              <c:f>Sheet1!$A$14:$A$50</c:f>
              <c:numCache>
                <c:formatCode>General</c:formatCode>
                <c:ptCount val="37"/>
                <c:pt idx="0">
                  <c:v>1976.0</c:v>
                </c:pt>
                <c:pt idx="1">
                  <c:v>1977.0</c:v>
                </c:pt>
                <c:pt idx="2">
                  <c:v>1978.0</c:v>
                </c:pt>
                <c:pt idx="3">
                  <c:v>1979.0</c:v>
                </c:pt>
                <c:pt idx="4">
                  <c:v>1980.0</c:v>
                </c:pt>
                <c:pt idx="5">
                  <c:v>1981.0</c:v>
                </c:pt>
                <c:pt idx="6">
                  <c:v>1982.0</c:v>
                </c:pt>
                <c:pt idx="7">
                  <c:v>1983.0</c:v>
                </c:pt>
                <c:pt idx="8">
                  <c:v>1984.0</c:v>
                </c:pt>
                <c:pt idx="9">
                  <c:v>1985.0</c:v>
                </c:pt>
                <c:pt idx="10">
                  <c:v>1986.0</c:v>
                </c:pt>
                <c:pt idx="11">
                  <c:v>1987.0</c:v>
                </c:pt>
                <c:pt idx="12">
                  <c:v>1988.0</c:v>
                </c:pt>
                <c:pt idx="13">
                  <c:v>1989.0</c:v>
                </c:pt>
                <c:pt idx="14">
                  <c:v>1990.0</c:v>
                </c:pt>
                <c:pt idx="15">
                  <c:v>1991.0</c:v>
                </c:pt>
                <c:pt idx="16">
                  <c:v>1992.0</c:v>
                </c:pt>
                <c:pt idx="17">
                  <c:v>1993.0</c:v>
                </c:pt>
                <c:pt idx="18">
                  <c:v>1994.0</c:v>
                </c:pt>
                <c:pt idx="19">
                  <c:v>1995.0</c:v>
                </c:pt>
                <c:pt idx="20">
                  <c:v>1996.0</c:v>
                </c:pt>
                <c:pt idx="21">
                  <c:v>1997.0</c:v>
                </c:pt>
                <c:pt idx="22">
                  <c:v>1998.0</c:v>
                </c:pt>
                <c:pt idx="23">
                  <c:v>1999.0</c:v>
                </c:pt>
                <c:pt idx="24">
                  <c:v>2000.0</c:v>
                </c:pt>
                <c:pt idx="25">
                  <c:v>2001.0</c:v>
                </c:pt>
                <c:pt idx="26">
                  <c:v>2002.0</c:v>
                </c:pt>
                <c:pt idx="27">
                  <c:v>2003.0</c:v>
                </c:pt>
                <c:pt idx="28">
                  <c:v>2004.0</c:v>
                </c:pt>
                <c:pt idx="29">
                  <c:v>2005.0</c:v>
                </c:pt>
                <c:pt idx="30">
                  <c:v>2006.0</c:v>
                </c:pt>
                <c:pt idx="31">
                  <c:v>2007.0</c:v>
                </c:pt>
                <c:pt idx="32">
                  <c:v>2008.0</c:v>
                </c:pt>
                <c:pt idx="33">
                  <c:v>2009.0</c:v>
                </c:pt>
                <c:pt idx="34">
                  <c:v>2010.0</c:v>
                </c:pt>
                <c:pt idx="35">
                  <c:v>2011.0</c:v>
                </c:pt>
                <c:pt idx="36">
                  <c:v>2012.0</c:v>
                </c:pt>
              </c:numCache>
            </c:numRef>
          </c:cat>
          <c:val>
            <c:numRef>
              <c:f>Sheet1!$C$14:$C$50</c:f>
              <c:numCache>
                <c:formatCode>General</c:formatCode>
                <c:ptCount val="37"/>
                <c:pt idx="0">
                  <c:v>73.0</c:v>
                </c:pt>
                <c:pt idx="1">
                  <c:v>46.0</c:v>
                </c:pt>
                <c:pt idx="2">
                  <c:v>47.0</c:v>
                </c:pt>
                <c:pt idx="3">
                  <c:v>49.0</c:v>
                </c:pt>
                <c:pt idx="4">
                  <c:v>56.0</c:v>
                </c:pt>
                <c:pt idx="5">
                  <c:v>46.0</c:v>
                </c:pt>
                <c:pt idx="6">
                  <c:v>50.0</c:v>
                </c:pt>
                <c:pt idx="7">
                  <c:v>57.0</c:v>
                </c:pt>
                <c:pt idx="8">
                  <c:v>54.0</c:v>
                </c:pt>
                <c:pt idx="9">
                  <c:v>60.0</c:v>
                </c:pt>
                <c:pt idx="10">
                  <c:v>58.0</c:v>
                </c:pt>
                <c:pt idx="11">
                  <c:v>53.0</c:v>
                </c:pt>
                <c:pt idx="12">
                  <c:v>56.0</c:v>
                </c:pt>
                <c:pt idx="13">
                  <c:v>52.0</c:v>
                </c:pt>
                <c:pt idx="14">
                  <c:v>52.0</c:v>
                </c:pt>
                <c:pt idx="15">
                  <c:v>57.0</c:v>
                </c:pt>
                <c:pt idx="16">
                  <c:v>60.0</c:v>
                </c:pt>
                <c:pt idx="17">
                  <c:v>55.0</c:v>
                </c:pt>
                <c:pt idx="18">
                  <c:v>47.0</c:v>
                </c:pt>
                <c:pt idx="19">
                  <c:v>52.0</c:v>
                </c:pt>
                <c:pt idx="20">
                  <c:v>54.0</c:v>
                </c:pt>
                <c:pt idx="21">
                  <c:v>47.0</c:v>
                </c:pt>
                <c:pt idx="22">
                  <c:v>55.0</c:v>
                </c:pt>
                <c:pt idx="23">
                  <c:v>44.0</c:v>
                </c:pt>
                <c:pt idx="24">
                  <c:v>52.0</c:v>
                </c:pt>
                <c:pt idx="25">
                  <c:v>59.0</c:v>
                </c:pt>
                <c:pt idx="26">
                  <c:v>56.0</c:v>
                </c:pt>
                <c:pt idx="27">
                  <c:v>53.0</c:v>
                </c:pt>
                <c:pt idx="28">
                  <c:v>50.0</c:v>
                </c:pt>
                <c:pt idx="29">
                  <c:v>50.0</c:v>
                </c:pt>
                <c:pt idx="30">
                  <c:v>50.0</c:v>
                </c:pt>
                <c:pt idx="31">
                  <c:v>48.0</c:v>
                </c:pt>
                <c:pt idx="32">
                  <c:v>53.0</c:v>
                </c:pt>
                <c:pt idx="33">
                  <c:v>49.0</c:v>
                </c:pt>
                <c:pt idx="34">
                  <c:v>44.0</c:v>
                </c:pt>
                <c:pt idx="35">
                  <c:v>42.0</c:v>
                </c:pt>
                <c:pt idx="36">
                  <c:v>38.0</c:v>
                </c:pt>
              </c:numCache>
            </c:numRef>
          </c:val>
        </c:ser>
        <c:dLbls>
          <c:showLegendKey val="0"/>
          <c:showVal val="0"/>
          <c:showCatName val="0"/>
          <c:showSerName val="0"/>
          <c:showPercent val="0"/>
          <c:showBubbleSize val="0"/>
        </c:dLbls>
        <c:axId val="-2094175992"/>
        <c:axId val="-2134805912"/>
      </c:areaChart>
      <c:catAx>
        <c:axId val="-2094175992"/>
        <c:scaling>
          <c:orientation val="minMax"/>
        </c:scaling>
        <c:delete val="0"/>
        <c:axPos val="b"/>
        <c:numFmt formatCode="General" sourceLinked="1"/>
        <c:majorTickMark val="out"/>
        <c:minorTickMark val="none"/>
        <c:tickLblPos val="nextTo"/>
        <c:crossAx val="-2134805912"/>
        <c:crosses val="autoZero"/>
        <c:auto val="1"/>
        <c:lblAlgn val="ctr"/>
        <c:lblOffset val="100"/>
        <c:noMultiLvlLbl val="0"/>
      </c:catAx>
      <c:valAx>
        <c:axId val="-2134805912"/>
        <c:scaling>
          <c:orientation val="minMax"/>
        </c:scaling>
        <c:delete val="0"/>
        <c:axPos val="l"/>
        <c:majorGridlines>
          <c:spPr>
            <a:ln>
              <a:solidFill>
                <a:schemeClr val="tx1"/>
              </a:solidFill>
            </a:ln>
          </c:spPr>
        </c:majorGridlines>
        <c:numFmt formatCode="0%" sourceLinked="1"/>
        <c:majorTickMark val="out"/>
        <c:minorTickMark val="none"/>
        <c:tickLblPos val="nextTo"/>
        <c:crossAx val="-209417599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bar"/>
        <c:grouping val="percentStacked"/>
        <c:varyColors val="0"/>
        <c:ser>
          <c:idx val="0"/>
          <c:order val="0"/>
          <c:tx>
            <c:strRef>
              <c:f>Total!$P$3</c:f>
              <c:strCache>
                <c:ptCount val="1"/>
                <c:pt idx="0">
                  <c:v>Career at home</c:v>
                </c:pt>
              </c:strCache>
            </c:strRef>
          </c:tx>
          <c:spPr>
            <a:solidFill>
              <a:schemeClr val="tx1"/>
            </a:solidFill>
          </c:spPr>
          <c:invertIfNegative val="0"/>
          <c:cat>
            <c:numRef>
              <c:f>Total!$Q$2:$W$2</c:f>
              <c:numCache>
                <c:formatCode>General</c:formatCode>
                <c:ptCount val="7"/>
                <c:pt idx="0">
                  <c:v>1913.0</c:v>
                </c:pt>
                <c:pt idx="1">
                  <c:v>1923.0</c:v>
                </c:pt>
                <c:pt idx="2">
                  <c:v>1933.0</c:v>
                </c:pt>
                <c:pt idx="3">
                  <c:v>1953.0</c:v>
                </c:pt>
                <c:pt idx="4">
                  <c:v>1963.0</c:v>
                </c:pt>
                <c:pt idx="5">
                  <c:v>1973.0</c:v>
                </c:pt>
                <c:pt idx="6">
                  <c:v>1983.0</c:v>
                </c:pt>
              </c:numCache>
            </c:numRef>
          </c:cat>
          <c:val>
            <c:numRef>
              <c:f>Total!$Q$3:$W$3</c:f>
              <c:numCache>
                <c:formatCode>General</c:formatCode>
                <c:ptCount val="7"/>
                <c:pt idx="0">
                  <c:v>53.0</c:v>
                </c:pt>
                <c:pt idx="1">
                  <c:v>35.0</c:v>
                </c:pt>
                <c:pt idx="2">
                  <c:v>43.0</c:v>
                </c:pt>
                <c:pt idx="3">
                  <c:v>44.0</c:v>
                </c:pt>
                <c:pt idx="4">
                  <c:v>39.0</c:v>
                </c:pt>
                <c:pt idx="5">
                  <c:v>54.0</c:v>
                </c:pt>
                <c:pt idx="6">
                  <c:v>47.0</c:v>
                </c:pt>
              </c:numCache>
            </c:numRef>
          </c:val>
        </c:ser>
        <c:ser>
          <c:idx val="1"/>
          <c:order val="1"/>
          <c:tx>
            <c:strRef>
              <c:f>Total!$P$4</c:f>
              <c:strCache>
                <c:ptCount val="1"/>
                <c:pt idx="0">
                  <c:v>Some mobility, career at home</c:v>
                </c:pt>
              </c:strCache>
            </c:strRef>
          </c:tx>
          <c:spPr>
            <a:solidFill>
              <a:srgbClr val="0000FF"/>
            </a:solidFill>
          </c:spPr>
          <c:invertIfNegative val="0"/>
          <c:cat>
            <c:numRef>
              <c:f>Total!$Q$2:$W$2</c:f>
              <c:numCache>
                <c:formatCode>General</c:formatCode>
                <c:ptCount val="7"/>
                <c:pt idx="0">
                  <c:v>1913.0</c:v>
                </c:pt>
                <c:pt idx="1">
                  <c:v>1923.0</c:v>
                </c:pt>
                <c:pt idx="2">
                  <c:v>1933.0</c:v>
                </c:pt>
                <c:pt idx="3">
                  <c:v>1953.0</c:v>
                </c:pt>
                <c:pt idx="4">
                  <c:v>1963.0</c:v>
                </c:pt>
                <c:pt idx="5">
                  <c:v>1973.0</c:v>
                </c:pt>
                <c:pt idx="6">
                  <c:v>1983.0</c:v>
                </c:pt>
              </c:numCache>
            </c:numRef>
          </c:cat>
          <c:val>
            <c:numRef>
              <c:f>Total!$Q$4:$W$4</c:f>
              <c:numCache>
                <c:formatCode>General</c:formatCode>
                <c:ptCount val="7"/>
                <c:pt idx="0">
                  <c:v>15.0</c:v>
                </c:pt>
                <c:pt idx="1">
                  <c:v>17.0</c:v>
                </c:pt>
                <c:pt idx="2">
                  <c:v>16.0</c:v>
                </c:pt>
                <c:pt idx="3">
                  <c:v>16.0</c:v>
                </c:pt>
                <c:pt idx="4">
                  <c:v>12.0</c:v>
                </c:pt>
                <c:pt idx="5">
                  <c:v>5.0</c:v>
                </c:pt>
                <c:pt idx="6">
                  <c:v>8.0</c:v>
                </c:pt>
              </c:numCache>
            </c:numRef>
          </c:val>
        </c:ser>
        <c:ser>
          <c:idx val="2"/>
          <c:order val="2"/>
          <c:tx>
            <c:strRef>
              <c:f>Total!$P$5</c:f>
              <c:strCache>
                <c:ptCount val="1"/>
                <c:pt idx="0">
                  <c:v>Extensive mobility, career abroad</c:v>
                </c:pt>
              </c:strCache>
            </c:strRef>
          </c:tx>
          <c:invertIfNegative val="0"/>
          <c:cat>
            <c:numRef>
              <c:f>Total!$Q$2:$W$2</c:f>
              <c:numCache>
                <c:formatCode>General</c:formatCode>
                <c:ptCount val="7"/>
                <c:pt idx="0">
                  <c:v>1913.0</c:v>
                </c:pt>
                <c:pt idx="1">
                  <c:v>1923.0</c:v>
                </c:pt>
                <c:pt idx="2">
                  <c:v>1933.0</c:v>
                </c:pt>
                <c:pt idx="3">
                  <c:v>1953.0</c:v>
                </c:pt>
                <c:pt idx="4">
                  <c:v>1963.0</c:v>
                </c:pt>
                <c:pt idx="5">
                  <c:v>1973.0</c:v>
                </c:pt>
                <c:pt idx="6">
                  <c:v>1983.0</c:v>
                </c:pt>
              </c:numCache>
            </c:numRef>
          </c:cat>
          <c:val>
            <c:numRef>
              <c:f>Total!$Q$5:$W$5</c:f>
              <c:numCache>
                <c:formatCode>General</c:formatCode>
                <c:ptCount val="7"/>
                <c:pt idx="0">
                  <c:v>8.0</c:v>
                </c:pt>
                <c:pt idx="1">
                  <c:v>12.0</c:v>
                </c:pt>
                <c:pt idx="2">
                  <c:v>7.0</c:v>
                </c:pt>
                <c:pt idx="3">
                  <c:v>9.0</c:v>
                </c:pt>
                <c:pt idx="4">
                  <c:v>14.0</c:v>
                </c:pt>
                <c:pt idx="5">
                  <c:v>13.0</c:v>
                </c:pt>
                <c:pt idx="6">
                  <c:v>16.0</c:v>
                </c:pt>
              </c:numCache>
            </c:numRef>
          </c:val>
        </c:ser>
        <c:dLbls>
          <c:showLegendKey val="0"/>
          <c:showVal val="0"/>
          <c:showCatName val="0"/>
          <c:showSerName val="0"/>
          <c:showPercent val="0"/>
          <c:showBubbleSize val="0"/>
        </c:dLbls>
        <c:gapWidth val="150"/>
        <c:overlap val="100"/>
        <c:axId val="-2133025064"/>
        <c:axId val="-2133583784"/>
      </c:barChart>
      <c:catAx>
        <c:axId val="-2133025064"/>
        <c:scaling>
          <c:orientation val="minMax"/>
        </c:scaling>
        <c:delete val="0"/>
        <c:axPos val="l"/>
        <c:numFmt formatCode="General" sourceLinked="1"/>
        <c:majorTickMark val="out"/>
        <c:minorTickMark val="none"/>
        <c:tickLblPos val="nextTo"/>
        <c:crossAx val="-2133583784"/>
        <c:crosses val="autoZero"/>
        <c:auto val="1"/>
        <c:lblAlgn val="ctr"/>
        <c:lblOffset val="100"/>
        <c:noMultiLvlLbl val="0"/>
      </c:catAx>
      <c:valAx>
        <c:axId val="-2133583784"/>
        <c:scaling>
          <c:orientation val="minMax"/>
        </c:scaling>
        <c:delete val="0"/>
        <c:axPos val="b"/>
        <c:majorGridlines>
          <c:spPr>
            <a:ln>
              <a:solidFill>
                <a:schemeClr val="tx1"/>
              </a:solidFill>
            </a:ln>
          </c:spPr>
        </c:majorGridlines>
        <c:numFmt formatCode="0%" sourceLinked="1"/>
        <c:majorTickMark val="out"/>
        <c:minorTickMark val="none"/>
        <c:tickLblPos val="nextTo"/>
        <c:crossAx val="-2133025064"/>
        <c:crosses val="autoZero"/>
        <c:crossBetween val="between"/>
      </c:valAx>
      <c:spPr>
        <a:solidFill>
          <a:schemeClr val="bg1">
            <a:lumMod val="75000"/>
          </a:schemeClr>
        </a:solidFill>
        <a:ln>
          <a:solidFill>
            <a:schemeClr val="tx1"/>
          </a:solidFill>
        </a:ln>
      </c:spPr>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manualLayout>
          <c:layoutTarget val="inner"/>
          <c:xMode val="edge"/>
          <c:yMode val="edge"/>
          <c:x val="0.152104658792651"/>
          <c:y val="0.0446965789926079"/>
          <c:w val="0.530626822688831"/>
          <c:h val="0.868202756243917"/>
        </c:manualLayout>
      </c:layout>
      <c:barChart>
        <c:barDir val="bar"/>
        <c:grouping val="percentStacked"/>
        <c:varyColors val="0"/>
        <c:ser>
          <c:idx val="0"/>
          <c:order val="0"/>
          <c:tx>
            <c:strRef>
              <c:f>'[Rhodes geographical mobility tables.xlsx]US vs. Non'!$AJ$6</c:f>
              <c:strCache>
                <c:ptCount val="1"/>
                <c:pt idx="0">
                  <c:v>Career at home</c:v>
                </c:pt>
              </c:strCache>
            </c:strRef>
          </c:tx>
          <c:spPr>
            <a:solidFill>
              <a:schemeClr val="tx1"/>
            </a:solidFill>
          </c:spPr>
          <c:invertIfNegative val="0"/>
          <c:cat>
            <c:strRef>
              <c:f>'[Rhodes geographical mobility tables.xlsx]US vs. Non'!$AK$5:$BD$5</c:f>
              <c:strCache>
                <c:ptCount val="20"/>
                <c:pt idx="0">
                  <c:v>1913 (US)</c:v>
                </c:pt>
                <c:pt idx="1">
                  <c:v>1913 (Non)</c:v>
                </c:pt>
                <c:pt idx="3">
                  <c:v>1923 (US)</c:v>
                </c:pt>
                <c:pt idx="4">
                  <c:v>1923 (Non)</c:v>
                </c:pt>
                <c:pt idx="6">
                  <c:v>1933 (US)</c:v>
                </c:pt>
                <c:pt idx="7">
                  <c:v>1933 (Non)</c:v>
                </c:pt>
                <c:pt idx="9">
                  <c:v>1953 (US)</c:v>
                </c:pt>
                <c:pt idx="10">
                  <c:v>1953 (Non)</c:v>
                </c:pt>
                <c:pt idx="12">
                  <c:v>1963 (US)</c:v>
                </c:pt>
                <c:pt idx="13">
                  <c:v>1963 (Non)</c:v>
                </c:pt>
                <c:pt idx="15">
                  <c:v>1973 (US)</c:v>
                </c:pt>
                <c:pt idx="16">
                  <c:v>1973 (Non)</c:v>
                </c:pt>
                <c:pt idx="18">
                  <c:v>1983 (US)</c:v>
                </c:pt>
                <c:pt idx="19">
                  <c:v>1983 (Non)</c:v>
                </c:pt>
              </c:strCache>
            </c:strRef>
          </c:cat>
          <c:val>
            <c:numRef>
              <c:f>'[Rhodes geographical mobility tables.xlsx]US vs. Non'!$AK$6:$BD$6</c:f>
              <c:numCache>
                <c:formatCode>General</c:formatCode>
                <c:ptCount val="20"/>
                <c:pt idx="0">
                  <c:v>35.0</c:v>
                </c:pt>
                <c:pt idx="1">
                  <c:v>18.0</c:v>
                </c:pt>
                <c:pt idx="3">
                  <c:v>25.0</c:v>
                </c:pt>
                <c:pt idx="4">
                  <c:v>9.0</c:v>
                </c:pt>
                <c:pt idx="6">
                  <c:v>28.0</c:v>
                </c:pt>
                <c:pt idx="7">
                  <c:v>15.0</c:v>
                </c:pt>
                <c:pt idx="9">
                  <c:v>27.0</c:v>
                </c:pt>
                <c:pt idx="10">
                  <c:v>17.0</c:v>
                </c:pt>
                <c:pt idx="12">
                  <c:v>25.0</c:v>
                </c:pt>
                <c:pt idx="13">
                  <c:v>14.0</c:v>
                </c:pt>
                <c:pt idx="15">
                  <c:v>28.0</c:v>
                </c:pt>
                <c:pt idx="16">
                  <c:v>26.0</c:v>
                </c:pt>
                <c:pt idx="18">
                  <c:v>28.0</c:v>
                </c:pt>
                <c:pt idx="19">
                  <c:v>19.0</c:v>
                </c:pt>
              </c:numCache>
            </c:numRef>
          </c:val>
        </c:ser>
        <c:ser>
          <c:idx val="1"/>
          <c:order val="1"/>
          <c:tx>
            <c:strRef>
              <c:f>'[Rhodes geographical mobility tables.xlsx]US vs. Non'!$AJ$7</c:f>
              <c:strCache>
                <c:ptCount val="1"/>
                <c:pt idx="0">
                  <c:v>Some mobility, career at home</c:v>
                </c:pt>
              </c:strCache>
            </c:strRef>
          </c:tx>
          <c:spPr>
            <a:solidFill>
              <a:srgbClr val="0000FF"/>
            </a:solidFill>
          </c:spPr>
          <c:invertIfNegative val="0"/>
          <c:cat>
            <c:strRef>
              <c:f>'[Rhodes geographical mobility tables.xlsx]US vs. Non'!$AK$5:$BD$5</c:f>
              <c:strCache>
                <c:ptCount val="20"/>
                <c:pt idx="0">
                  <c:v>1913 (US)</c:v>
                </c:pt>
                <c:pt idx="1">
                  <c:v>1913 (Non)</c:v>
                </c:pt>
                <c:pt idx="3">
                  <c:v>1923 (US)</c:v>
                </c:pt>
                <c:pt idx="4">
                  <c:v>1923 (Non)</c:v>
                </c:pt>
                <c:pt idx="6">
                  <c:v>1933 (US)</c:v>
                </c:pt>
                <c:pt idx="7">
                  <c:v>1933 (Non)</c:v>
                </c:pt>
                <c:pt idx="9">
                  <c:v>1953 (US)</c:v>
                </c:pt>
                <c:pt idx="10">
                  <c:v>1953 (Non)</c:v>
                </c:pt>
                <c:pt idx="12">
                  <c:v>1963 (US)</c:v>
                </c:pt>
                <c:pt idx="13">
                  <c:v>1963 (Non)</c:v>
                </c:pt>
                <c:pt idx="15">
                  <c:v>1973 (US)</c:v>
                </c:pt>
                <c:pt idx="16">
                  <c:v>1973 (Non)</c:v>
                </c:pt>
                <c:pt idx="18">
                  <c:v>1983 (US)</c:v>
                </c:pt>
                <c:pt idx="19">
                  <c:v>1983 (Non)</c:v>
                </c:pt>
              </c:strCache>
            </c:strRef>
          </c:cat>
          <c:val>
            <c:numRef>
              <c:f>'[Rhodes geographical mobility tables.xlsx]US vs. Non'!$AK$7:$BD$7</c:f>
              <c:numCache>
                <c:formatCode>General</c:formatCode>
                <c:ptCount val="20"/>
                <c:pt idx="0">
                  <c:v>6.0</c:v>
                </c:pt>
                <c:pt idx="1">
                  <c:v>9.0</c:v>
                </c:pt>
                <c:pt idx="3">
                  <c:v>6.0</c:v>
                </c:pt>
                <c:pt idx="4">
                  <c:v>11.0</c:v>
                </c:pt>
                <c:pt idx="6">
                  <c:v>5.0</c:v>
                </c:pt>
                <c:pt idx="7">
                  <c:v>11.0</c:v>
                </c:pt>
                <c:pt idx="9">
                  <c:v>4.0</c:v>
                </c:pt>
                <c:pt idx="10">
                  <c:v>12.0</c:v>
                </c:pt>
                <c:pt idx="12">
                  <c:v>5.0</c:v>
                </c:pt>
                <c:pt idx="13">
                  <c:v>7.0</c:v>
                </c:pt>
                <c:pt idx="15">
                  <c:v>3.0</c:v>
                </c:pt>
                <c:pt idx="16">
                  <c:v>2.0</c:v>
                </c:pt>
                <c:pt idx="18">
                  <c:v>3.0</c:v>
                </c:pt>
                <c:pt idx="19">
                  <c:v>5.0</c:v>
                </c:pt>
              </c:numCache>
            </c:numRef>
          </c:val>
        </c:ser>
        <c:ser>
          <c:idx val="2"/>
          <c:order val="2"/>
          <c:tx>
            <c:strRef>
              <c:f>'[Rhodes geographical mobility tables.xlsx]US vs. Non'!$AJ$8</c:f>
              <c:strCache>
                <c:ptCount val="1"/>
                <c:pt idx="0">
                  <c:v>Extensive mobility, career abroad</c:v>
                </c:pt>
              </c:strCache>
            </c:strRef>
          </c:tx>
          <c:invertIfNegative val="0"/>
          <c:cat>
            <c:strRef>
              <c:f>'[Rhodes geographical mobility tables.xlsx]US vs. Non'!$AK$5:$BD$5</c:f>
              <c:strCache>
                <c:ptCount val="20"/>
                <c:pt idx="0">
                  <c:v>1913 (US)</c:v>
                </c:pt>
                <c:pt idx="1">
                  <c:v>1913 (Non)</c:v>
                </c:pt>
                <c:pt idx="3">
                  <c:v>1923 (US)</c:v>
                </c:pt>
                <c:pt idx="4">
                  <c:v>1923 (Non)</c:v>
                </c:pt>
                <c:pt idx="6">
                  <c:v>1933 (US)</c:v>
                </c:pt>
                <c:pt idx="7">
                  <c:v>1933 (Non)</c:v>
                </c:pt>
                <c:pt idx="9">
                  <c:v>1953 (US)</c:v>
                </c:pt>
                <c:pt idx="10">
                  <c:v>1953 (Non)</c:v>
                </c:pt>
                <c:pt idx="12">
                  <c:v>1963 (US)</c:v>
                </c:pt>
                <c:pt idx="13">
                  <c:v>1963 (Non)</c:v>
                </c:pt>
                <c:pt idx="15">
                  <c:v>1973 (US)</c:v>
                </c:pt>
                <c:pt idx="16">
                  <c:v>1973 (Non)</c:v>
                </c:pt>
                <c:pt idx="18">
                  <c:v>1983 (US)</c:v>
                </c:pt>
                <c:pt idx="19">
                  <c:v>1983 (Non)</c:v>
                </c:pt>
              </c:strCache>
            </c:strRef>
          </c:cat>
          <c:val>
            <c:numRef>
              <c:f>'[Rhodes geographical mobility tables.xlsx]US vs. Non'!$AK$8:$BD$8</c:f>
              <c:numCache>
                <c:formatCode>General</c:formatCode>
                <c:ptCount val="20"/>
                <c:pt idx="0">
                  <c:v>2.0</c:v>
                </c:pt>
                <c:pt idx="1">
                  <c:v>6.0</c:v>
                </c:pt>
                <c:pt idx="3">
                  <c:v>0.0</c:v>
                </c:pt>
                <c:pt idx="4">
                  <c:v>12.0</c:v>
                </c:pt>
                <c:pt idx="6">
                  <c:v>0.0</c:v>
                </c:pt>
                <c:pt idx="7">
                  <c:v>7.0</c:v>
                </c:pt>
                <c:pt idx="9">
                  <c:v>1.0</c:v>
                </c:pt>
                <c:pt idx="10">
                  <c:v>8.0</c:v>
                </c:pt>
                <c:pt idx="12">
                  <c:v>2.0</c:v>
                </c:pt>
                <c:pt idx="13">
                  <c:v>12.0</c:v>
                </c:pt>
                <c:pt idx="15">
                  <c:v>1.0</c:v>
                </c:pt>
                <c:pt idx="16">
                  <c:v>12.0</c:v>
                </c:pt>
                <c:pt idx="18">
                  <c:v>1.0</c:v>
                </c:pt>
                <c:pt idx="19">
                  <c:v>15.0</c:v>
                </c:pt>
              </c:numCache>
            </c:numRef>
          </c:val>
        </c:ser>
        <c:dLbls>
          <c:showLegendKey val="0"/>
          <c:showVal val="0"/>
          <c:showCatName val="0"/>
          <c:showSerName val="0"/>
          <c:showPercent val="0"/>
          <c:showBubbleSize val="0"/>
        </c:dLbls>
        <c:gapWidth val="150"/>
        <c:overlap val="100"/>
        <c:axId val="-2096692888"/>
        <c:axId val="-2097016280"/>
      </c:barChart>
      <c:catAx>
        <c:axId val="-2096692888"/>
        <c:scaling>
          <c:orientation val="minMax"/>
        </c:scaling>
        <c:delete val="0"/>
        <c:axPos val="l"/>
        <c:majorTickMark val="out"/>
        <c:minorTickMark val="none"/>
        <c:tickLblPos val="nextTo"/>
        <c:crossAx val="-2097016280"/>
        <c:crosses val="autoZero"/>
        <c:auto val="1"/>
        <c:lblAlgn val="ctr"/>
        <c:lblOffset val="100"/>
        <c:noMultiLvlLbl val="0"/>
      </c:catAx>
      <c:valAx>
        <c:axId val="-2097016280"/>
        <c:scaling>
          <c:orientation val="minMax"/>
        </c:scaling>
        <c:delete val="0"/>
        <c:axPos val="b"/>
        <c:majorGridlines/>
        <c:numFmt formatCode="0%" sourceLinked="1"/>
        <c:majorTickMark val="out"/>
        <c:minorTickMark val="none"/>
        <c:tickLblPos val="nextTo"/>
        <c:crossAx val="-2096692888"/>
        <c:crosses val="autoZero"/>
        <c:crossBetween val="between"/>
      </c:valAx>
      <c:spPr>
        <a:solidFill>
          <a:schemeClr val="bg1">
            <a:lumMod val="85000"/>
          </a:schemeClr>
        </a:solidFill>
      </c:spPr>
    </c:plotArea>
    <c:legend>
      <c:legendPos val="r"/>
      <c:layout>
        <c:manualLayout>
          <c:xMode val="edge"/>
          <c:yMode val="edge"/>
          <c:x val="0.722222222222222"/>
          <c:y val="0.400952137300527"/>
          <c:w val="0.259259259259259"/>
          <c:h val="0.25998302558750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568D-D03F-4B4C-BB08-F4AC051F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5001</Words>
  <Characters>28507</Characters>
  <Application>Microsoft Macintosh Word</Application>
  <DocSecurity>0</DocSecurity>
  <Lines>237</Lines>
  <Paragraphs>66</Paragraphs>
  <ScaleCrop>false</ScaleCrop>
  <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Tournès</dc:creator>
  <cp:keywords/>
  <dc:description/>
  <cp:lastModifiedBy>Meng Hsuan Chou</cp:lastModifiedBy>
  <cp:revision>13</cp:revision>
  <dcterms:created xsi:type="dcterms:W3CDTF">2017-09-12T11:54:00Z</dcterms:created>
  <dcterms:modified xsi:type="dcterms:W3CDTF">2017-09-12T12:12:00Z</dcterms:modified>
</cp:coreProperties>
</file>